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81426" w14:textId="0AF833A9" w:rsidR="00B501C7" w:rsidRPr="00CC4CCF" w:rsidRDefault="00CC4CCF" w:rsidP="00CC4CCF">
      <w:pPr>
        <w:spacing w:line="360" w:lineRule="auto"/>
        <w:jc w:val="center"/>
        <w:rPr>
          <w:b/>
          <w:bCs/>
        </w:rPr>
      </w:pPr>
      <w:r w:rsidRPr="00CC4CCF">
        <w:rPr>
          <w:b/>
          <w:bCs/>
        </w:rPr>
        <w:t>Collaborative Practice Agreement</w:t>
      </w:r>
    </w:p>
    <w:p w14:paraId="6EE28EC4" w14:textId="7438121E" w:rsidR="00CC4CCF" w:rsidRPr="00CC4CCF" w:rsidRDefault="00364AE0" w:rsidP="00CC4CCF">
      <w:pPr>
        <w:spacing w:line="360" w:lineRule="auto"/>
        <w:jc w:val="center"/>
        <w:rPr>
          <w:b/>
          <w:bCs/>
        </w:rPr>
      </w:pPr>
      <w:r>
        <w:rPr>
          <w:b/>
          <w:bCs/>
        </w:rPr>
        <w:t>Diabetes</w:t>
      </w:r>
      <w:r w:rsidR="00CC4CCF" w:rsidRPr="00CC4CCF">
        <w:rPr>
          <w:b/>
          <w:bCs/>
        </w:rPr>
        <w:t xml:space="preserve"> Management </w:t>
      </w:r>
    </w:p>
    <w:p w14:paraId="619B1ED4" w14:textId="1E104308" w:rsidR="00CC4CCF" w:rsidRPr="00CC4CCF" w:rsidRDefault="00CC4CCF" w:rsidP="00CC4CCF">
      <w:pPr>
        <w:spacing w:line="360" w:lineRule="auto"/>
        <w:jc w:val="center"/>
      </w:pPr>
      <w:r w:rsidRPr="00CC4CCF">
        <w:t>{PHARMACY/INSTITUTION NAME}</w:t>
      </w:r>
    </w:p>
    <w:p w14:paraId="70E858CE" w14:textId="1CA3BAF1" w:rsidR="00CC4CCF" w:rsidRDefault="00CC4CCF" w:rsidP="00CC4CCF">
      <w:pPr>
        <w:jc w:val="center"/>
      </w:pPr>
    </w:p>
    <w:p w14:paraId="76F6E478" w14:textId="77777777" w:rsidR="00CC4CCF" w:rsidRPr="00CC4CCF" w:rsidRDefault="00CC4CCF" w:rsidP="00CC4CCF">
      <w:pPr>
        <w:rPr>
          <w:lang w:bidi="en-US"/>
        </w:rPr>
      </w:pPr>
      <w:r w:rsidRPr="00CC4CCF">
        <w:rPr>
          <w:lang w:bidi="en-US"/>
        </w:rPr>
        <w:t>Collaborative Practice Agreements (CPAs) are used to create formal relationships between pharmacists and physicians that allow for expanded patient care services the pharmacist can provide to patients and the healthcare team.</w:t>
      </w:r>
    </w:p>
    <w:p w14:paraId="50477CCD" w14:textId="56C20EF7" w:rsidR="00CC4CCF" w:rsidRDefault="00CC4CCF" w:rsidP="00CC4CCF"/>
    <w:p w14:paraId="15C61733" w14:textId="77777777" w:rsidR="00CC4CCF" w:rsidRPr="00CC4CCF" w:rsidRDefault="00CC4CCF" w:rsidP="00CC4CCF">
      <w:pPr>
        <w:rPr>
          <w:lang w:bidi="en-US"/>
        </w:rPr>
      </w:pPr>
      <w:r w:rsidRPr="00CC4CCF">
        <w:rPr>
          <w:lang w:bidi="en-US"/>
        </w:rPr>
        <w:t>The authority to obtain patient history, collaborate on physical assessments, order and assess diagnostic tests, make medication related medical decisions, and modify therapy management options is derived from the delegation of that authority by the Wisconsin licensed physicians signed below, in accordance with Wisconsin Act 294, Pharmacy Chapter 450.033, which reads</w:t>
      </w:r>
    </w:p>
    <w:p w14:paraId="6DC4F690" w14:textId="78BBCB3F" w:rsidR="00CC4CCF" w:rsidRDefault="00CC4CCF" w:rsidP="00CC4CCF"/>
    <w:p w14:paraId="4FAEF5FB" w14:textId="77777777" w:rsidR="00CC4CCF" w:rsidRPr="00CC4CCF" w:rsidRDefault="00CC4CCF" w:rsidP="00CC4CCF">
      <w:pPr>
        <w:rPr>
          <w:lang w:bidi="en-US"/>
        </w:rPr>
      </w:pPr>
      <w:r w:rsidRPr="00CC4CCF">
        <w:rPr>
          <w:b/>
          <w:lang w:bidi="en-US"/>
        </w:rPr>
        <w:t xml:space="preserve">450.033 Services delegated by physician. </w:t>
      </w:r>
      <w:r w:rsidRPr="00CC4CCF">
        <w:rPr>
          <w:lang w:bidi="en-US"/>
        </w:rPr>
        <w:t>A pharmacist may perform any patient care service delegated to the pharmacist by a physician, as defined in s. 448.01 (5).</w:t>
      </w:r>
    </w:p>
    <w:p w14:paraId="57711F01" w14:textId="023AB99D" w:rsidR="00CC4CCF" w:rsidRDefault="00CC4CCF" w:rsidP="00CC4CCF"/>
    <w:p w14:paraId="776EC07D" w14:textId="74BE15D1" w:rsidR="00CC4CCF" w:rsidRDefault="00CC4CCF" w:rsidP="00CC4CCF">
      <w:pPr>
        <w:rPr>
          <w:lang w:bidi="en-US"/>
        </w:rPr>
      </w:pPr>
      <w:r w:rsidRPr="00CC4CCF">
        <w:rPr>
          <w:lang w:bidi="en-US"/>
        </w:rPr>
        <w:t>The Wisconsin licensed physician(s) signed below are working in collaboration with the following clinical pharmacists, licensed in Wisconsin, and agree to delegate and supervise delegated medical acts as defined in the attached Scope of Pharmacy Practice Guidelines and Treatment Protocols.</w:t>
      </w:r>
    </w:p>
    <w:p w14:paraId="3B57E485" w14:textId="35E683E1" w:rsidR="00CC4CCF" w:rsidRDefault="00CC4CCF" w:rsidP="00CC4CCF">
      <w:pPr>
        <w:rPr>
          <w:lang w:bidi="en-US"/>
        </w:rPr>
      </w:pPr>
    </w:p>
    <w:p w14:paraId="675E261A" w14:textId="21E8ABB5" w:rsidR="00CC4CCF" w:rsidRDefault="00CC4CCF" w:rsidP="00CC4CCF">
      <w:pPr>
        <w:rPr>
          <w:lang w:bidi="en-US"/>
        </w:rPr>
      </w:pPr>
    </w:p>
    <w:p w14:paraId="761006AF" w14:textId="77777777" w:rsidR="00CC4CCF" w:rsidRPr="00CC4CCF" w:rsidRDefault="00CC4CCF" w:rsidP="00CC4CCF">
      <w:pPr>
        <w:rPr>
          <w:lang w:bidi="en-US"/>
        </w:rPr>
      </w:pPr>
    </w:p>
    <w:p w14:paraId="21EF5CC8" w14:textId="49DDF778" w:rsidR="00CC4CCF" w:rsidRDefault="00CC4CCF" w:rsidP="00CC4CCF"/>
    <w:tbl>
      <w:tblPr>
        <w:tblW w:w="9592" w:type="dxa"/>
        <w:tblLayout w:type="fixed"/>
        <w:tblCellMar>
          <w:left w:w="0" w:type="dxa"/>
          <w:right w:w="0" w:type="dxa"/>
        </w:tblCellMar>
        <w:tblLook w:val="01E0" w:firstRow="1" w:lastRow="1" w:firstColumn="1" w:lastColumn="1" w:noHBand="0" w:noVBand="0"/>
      </w:tblPr>
      <w:tblGrid>
        <w:gridCol w:w="4436"/>
        <w:gridCol w:w="720"/>
        <w:gridCol w:w="4436"/>
      </w:tblGrid>
      <w:tr w:rsidR="00CC4CCF" w14:paraId="2B4E90E3" w14:textId="77777777" w:rsidTr="00CC4CCF">
        <w:trPr>
          <w:trHeight w:val="995"/>
        </w:trPr>
        <w:tc>
          <w:tcPr>
            <w:tcW w:w="4436" w:type="dxa"/>
            <w:tcBorders>
              <w:top w:val="single" w:sz="4" w:space="0" w:color="000000"/>
              <w:bottom w:val="single" w:sz="4" w:space="0" w:color="000000"/>
            </w:tcBorders>
          </w:tcPr>
          <w:p w14:paraId="2FE16BE3" w14:textId="77777777" w:rsidR="00CC4CCF" w:rsidRDefault="00CC4CCF" w:rsidP="00366F6C">
            <w:pPr>
              <w:pStyle w:val="TableParagraph"/>
              <w:spacing w:line="268" w:lineRule="exact"/>
              <w:ind w:left="108"/>
              <w:rPr>
                <w:sz w:val="24"/>
              </w:rPr>
            </w:pPr>
            <w:r>
              <w:rPr>
                <w:sz w:val="24"/>
              </w:rPr>
              <w:t>(Name, MD/DO, WI License #, Date)</w:t>
            </w:r>
          </w:p>
        </w:tc>
        <w:tc>
          <w:tcPr>
            <w:tcW w:w="720" w:type="dxa"/>
          </w:tcPr>
          <w:p w14:paraId="75F4ABB1" w14:textId="77777777" w:rsidR="00CC4CCF" w:rsidRDefault="00CC4CCF" w:rsidP="00366F6C">
            <w:pPr>
              <w:pStyle w:val="TableParagraph"/>
              <w:rPr>
                <w:sz w:val="24"/>
              </w:rPr>
            </w:pPr>
          </w:p>
        </w:tc>
        <w:tc>
          <w:tcPr>
            <w:tcW w:w="4436" w:type="dxa"/>
            <w:tcBorders>
              <w:top w:val="single" w:sz="4" w:space="0" w:color="000000"/>
              <w:bottom w:val="single" w:sz="4" w:space="0" w:color="000000"/>
            </w:tcBorders>
          </w:tcPr>
          <w:p w14:paraId="466BA966" w14:textId="77777777" w:rsidR="00CC4CCF" w:rsidRDefault="00CC4CCF" w:rsidP="00366F6C">
            <w:pPr>
              <w:pStyle w:val="TableParagraph"/>
              <w:spacing w:line="268" w:lineRule="exact"/>
              <w:ind w:left="108"/>
              <w:rPr>
                <w:sz w:val="24"/>
              </w:rPr>
            </w:pPr>
            <w:r>
              <w:rPr>
                <w:sz w:val="24"/>
              </w:rPr>
              <w:t>(Name, PharmD, WI License #, Date)</w:t>
            </w:r>
          </w:p>
        </w:tc>
      </w:tr>
      <w:tr w:rsidR="00CC4CCF" w14:paraId="16A36593" w14:textId="77777777" w:rsidTr="00CC4CCF">
        <w:trPr>
          <w:trHeight w:val="996"/>
        </w:trPr>
        <w:tc>
          <w:tcPr>
            <w:tcW w:w="4436" w:type="dxa"/>
            <w:tcBorders>
              <w:top w:val="single" w:sz="4" w:space="0" w:color="000000"/>
              <w:bottom w:val="single" w:sz="4" w:space="0" w:color="000000"/>
            </w:tcBorders>
          </w:tcPr>
          <w:p w14:paraId="00191E59" w14:textId="77777777" w:rsidR="00CC4CCF" w:rsidRDefault="00CC4CCF" w:rsidP="00366F6C">
            <w:pPr>
              <w:pStyle w:val="TableParagraph"/>
              <w:spacing w:line="268" w:lineRule="exact"/>
              <w:ind w:left="108"/>
              <w:rPr>
                <w:sz w:val="24"/>
              </w:rPr>
            </w:pPr>
            <w:r>
              <w:rPr>
                <w:sz w:val="24"/>
              </w:rPr>
              <w:t>(Name, MD/DO, WI License #, Date)</w:t>
            </w:r>
          </w:p>
        </w:tc>
        <w:tc>
          <w:tcPr>
            <w:tcW w:w="720" w:type="dxa"/>
          </w:tcPr>
          <w:p w14:paraId="5EADF38D" w14:textId="77777777" w:rsidR="00CC4CCF" w:rsidRDefault="00CC4CCF" w:rsidP="00366F6C">
            <w:pPr>
              <w:pStyle w:val="TableParagraph"/>
              <w:rPr>
                <w:sz w:val="24"/>
              </w:rPr>
            </w:pPr>
          </w:p>
        </w:tc>
        <w:tc>
          <w:tcPr>
            <w:tcW w:w="4436" w:type="dxa"/>
            <w:tcBorders>
              <w:top w:val="single" w:sz="4" w:space="0" w:color="000000"/>
              <w:bottom w:val="single" w:sz="4" w:space="0" w:color="000000"/>
            </w:tcBorders>
          </w:tcPr>
          <w:p w14:paraId="52656368" w14:textId="77777777" w:rsidR="00CC4CCF" w:rsidRDefault="00CC4CCF" w:rsidP="00366F6C">
            <w:pPr>
              <w:pStyle w:val="TableParagraph"/>
              <w:spacing w:line="268" w:lineRule="exact"/>
              <w:ind w:left="108"/>
              <w:rPr>
                <w:sz w:val="24"/>
              </w:rPr>
            </w:pPr>
            <w:r>
              <w:rPr>
                <w:sz w:val="24"/>
              </w:rPr>
              <w:t>(Name, PharmD, WI License #, Date)</w:t>
            </w:r>
          </w:p>
        </w:tc>
      </w:tr>
      <w:tr w:rsidR="00CC4CCF" w14:paraId="08994858" w14:textId="77777777" w:rsidTr="00CC4CCF">
        <w:trPr>
          <w:trHeight w:val="995"/>
        </w:trPr>
        <w:tc>
          <w:tcPr>
            <w:tcW w:w="4436" w:type="dxa"/>
            <w:tcBorders>
              <w:top w:val="single" w:sz="4" w:space="0" w:color="000000"/>
              <w:bottom w:val="single" w:sz="4" w:space="0" w:color="000000"/>
            </w:tcBorders>
          </w:tcPr>
          <w:p w14:paraId="157C753F" w14:textId="77777777" w:rsidR="00CC4CCF" w:rsidRDefault="00CC4CCF" w:rsidP="00366F6C">
            <w:pPr>
              <w:pStyle w:val="TableParagraph"/>
              <w:spacing w:line="268" w:lineRule="exact"/>
              <w:ind w:left="108"/>
              <w:rPr>
                <w:sz w:val="24"/>
              </w:rPr>
            </w:pPr>
            <w:r>
              <w:rPr>
                <w:sz w:val="24"/>
              </w:rPr>
              <w:t>(Name, MD/DO, WI License #, Date)</w:t>
            </w:r>
          </w:p>
        </w:tc>
        <w:tc>
          <w:tcPr>
            <w:tcW w:w="720" w:type="dxa"/>
          </w:tcPr>
          <w:p w14:paraId="62AAB83E" w14:textId="77777777" w:rsidR="00CC4CCF" w:rsidRDefault="00CC4CCF" w:rsidP="00366F6C">
            <w:pPr>
              <w:pStyle w:val="TableParagraph"/>
              <w:rPr>
                <w:sz w:val="24"/>
              </w:rPr>
            </w:pPr>
          </w:p>
        </w:tc>
        <w:tc>
          <w:tcPr>
            <w:tcW w:w="4436" w:type="dxa"/>
            <w:tcBorders>
              <w:top w:val="single" w:sz="4" w:space="0" w:color="000000"/>
              <w:bottom w:val="single" w:sz="4" w:space="0" w:color="000000"/>
            </w:tcBorders>
          </w:tcPr>
          <w:p w14:paraId="4A6B11DE" w14:textId="77777777" w:rsidR="00CC4CCF" w:rsidRDefault="00CC4CCF" w:rsidP="00366F6C">
            <w:pPr>
              <w:pStyle w:val="TableParagraph"/>
              <w:spacing w:line="268" w:lineRule="exact"/>
              <w:ind w:left="108"/>
              <w:rPr>
                <w:sz w:val="24"/>
              </w:rPr>
            </w:pPr>
            <w:r>
              <w:rPr>
                <w:sz w:val="24"/>
              </w:rPr>
              <w:t>(Name, PharmD, WI License #, Date)</w:t>
            </w:r>
          </w:p>
        </w:tc>
      </w:tr>
      <w:tr w:rsidR="00CC4CCF" w14:paraId="2299C533" w14:textId="77777777" w:rsidTr="00CC4CCF">
        <w:trPr>
          <w:trHeight w:val="995"/>
        </w:trPr>
        <w:tc>
          <w:tcPr>
            <w:tcW w:w="4436" w:type="dxa"/>
            <w:tcBorders>
              <w:top w:val="single" w:sz="4" w:space="0" w:color="000000"/>
              <w:bottom w:val="single" w:sz="4" w:space="0" w:color="000000"/>
            </w:tcBorders>
          </w:tcPr>
          <w:p w14:paraId="7B791183" w14:textId="77777777" w:rsidR="00CC4CCF" w:rsidRDefault="00CC4CCF" w:rsidP="00366F6C">
            <w:pPr>
              <w:pStyle w:val="TableParagraph"/>
              <w:spacing w:line="268" w:lineRule="exact"/>
              <w:ind w:left="108"/>
              <w:rPr>
                <w:sz w:val="24"/>
              </w:rPr>
            </w:pPr>
            <w:r>
              <w:rPr>
                <w:sz w:val="24"/>
              </w:rPr>
              <w:t>(Name, MD/DO, WI License #, Date)</w:t>
            </w:r>
          </w:p>
        </w:tc>
        <w:tc>
          <w:tcPr>
            <w:tcW w:w="720" w:type="dxa"/>
          </w:tcPr>
          <w:p w14:paraId="6EA1BB9C" w14:textId="77777777" w:rsidR="00CC4CCF" w:rsidRDefault="00CC4CCF" w:rsidP="00366F6C">
            <w:pPr>
              <w:pStyle w:val="TableParagraph"/>
              <w:rPr>
                <w:sz w:val="24"/>
              </w:rPr>
            </w:pPr>
          </w:p>
        </w:tc>
        <w:tc>
          <w:tcPr>
            <w:tcW w:w="4436" w:type="dxa"/>
            <w:tcBorders>
              <w:top w:val="single" w:sz="4" w:space="0" w:color="000000"/>
              <w:bottom w:val="single" w:sz="4" w:space="0" w:color="000000"/>
            </w:tcBorders>
          </w:tcPr>
          <w:p w14:paraId="4DA7349A" w14:textId="77777777" w:rsidR="00CC4CCF" w:rsidRDefault="00CC4CCF" w:rsidP="00366F6C">
            <w:pPr>
              <w:pStyle w:val="TableParagraph"/>
              <w:spacing w:line="268" w:lineRule="exact"/>
              <w:ind w:left="108"/>
              <w:rPr>
                <w:sz w:val="24"/>
              </w:rPr>
            </w:pPr>
            <w:r>
              <w:rPr>
                <w:sz w:val="24"/>
              </w:rPr>
              <w:t>(Name, PharmD, WI License #, Date)</w:t>
            </w:r>
          </w:p>
        </w:tc>
      </w:tr>
      <w:tr w:rsidR="00CC4CCF" w14:paraId="5F632B30" w14:textId="77777777" w:rsidTr="00CC4CCF">
        <w:trPr>
          <w:trHeight w:val="267"/>
        </w:trPr>
        <w:tc>
          <w:tcPr>
            <w:tcW w:w="4436" w:type="dxa"/>
            <w:tcBorders>
              <w:top w:val="single" w:sz="4" w:space="0" w:color="000000"/>
            </w:tcBorders>
          </w:tcPr>
          <w:p w14:paraId="002EF36C" w14:textId="77777777" w:rsidR="00CC4CCF" w:rsidRDefault="00CC4CCF" w:rsidP="00366F6C">
            <w:pPr>
              <w:pStyle w:val="TableParagraph"/>
              <w:spacing w:line="248" w:lineRule="exact"/>
              <w:ind w:left="108"/>
              <w:rPr>
                <w:sz w:val="24"/>
              </w:rPr>
            </w:pPr>
            <w:r>
              <w:rPr>
                <w:sz w:val="24"/>
              </w:rPr>
              <w:t>(Name, MD/DO, WI License #, Date)</w:t>
            </w:r>
          </w:p>
        </w:tc>
        <w:tc>
          <w:tcPr>
            <w:tcW w:w="720" w:type="dxa"/>
          </w:tcPr>
          <w:p w14:paraId="243D2B10" w14:textId="77777777" w:rsidR="00CC4CCF" w:rsidRDefault="00CC4CCF" w:rsidP="00366F6C">
            <w:pPr>
              <w:pStyle w:val="TableParagraph"/>
              <w:rPr>
                <w:sz w:val="18"/>
              </w:rPr>
            </w:pPr>
          </w:p>
        </w:tc>
        <w:tc>
          <w:tcPr>
            <w:tcW w:w="4436" w:type="dxa"/>
            <w:tcBorders>
              <w:top w:val="single" w:sz="4" w:space="0" w:color="000000"/>
            </w:tcBorders>
          </w:tcPr>
          <w:p w14:paraId="59A9BA76" w14:textId="77777777" w:rsidR="00CC4CCF" w:rsidRDefault="00CC4CCF" w:rsidP="00366F6C">
            <w:pPr>
              <w:pStyle w:val="TableParagraph"/>
              <w:spacing w:line="248" w:lineRule="exact"/>
              <w:ind w:left="108"/>
              <w:rPr>
                <w:sz w:val="24"/>
              </w:rPr>
            </w:pPr>
            <w:r>
              <w:rPr>
                <w:sz w:val="24"/>
              </w:rPr>
              <w:t>(Name, PharmD, WI License #, Date)</w:t>
            </w:r>
          </w:p>
        </w:tc>
      </w:tr>
    </w:tbl>
    <w:p w14:paraId="636B8BDC" w14:textId="5FDD4FCC" w:rsidR="00CC4CCF" w:rsidRDefault="00CC4CCF" w:rsidP="00CC4CCF"/>
    <w:p w14:paraId="484B386D" w14:textId="08C075FB" w:rsidR="00CC4CCF" w:rsidRDefault="00CC4CCF" w:rsidP="00CC4CCF"/>
    <w:p w14:paraId="5A7AE37E" w14:textId="3776334A" w:rsidR="00CC4CCF" w:rsidRDefault="00CC4CCF" w:rsidP="00CC4CCF"/>
    <w:p w14:paraId="4C9A618B" w14:textId="599CEC28" w:rsidR="00CC4CCF" w:rsidRDefault="00CC4CCF" w:rsidP="00CC4CCF"/>
    <w:p w14:paraId="741CB27D" w14:textId="4F67E4A0" w:rsidR="00CC4CCF" w:rsidRPr="00CC4CCF" w:rsidRDefault="00CC4CCF" w:rsidP="00CC4CCF">
      <w:pPr>
        <w:jc w:val="center"/>
        <w:rPr>
          <w:b/>
          <w:bCs/>
        </w:rPr>
      </w:pPr>
      <w:r w:rsidRPr="00CC4CCF">
        <w:rPr>
          <w:b/>
          <w:bCs/>
        </w:rPr>
        <w:lastRenderedPageBreak/>
        <w:t>Scope of Pharmacy Practice Guidelines</w:t>
      </w:r>
    </w:p>
    <w:p w14:paraId="5FBAA770" w14:textId="16B6614F" w:rsidR="00CC4CCF" w:rsidRDefault="00CC4CCF" w:rsidP="00CC4CCF">
      <w:pPr>
        <w:jc w:val="center"/>
      </w:pPr>
    </w:p>
    <w:p w14:paraId="6DBFE392" w14:textId="4A5D382A" w:rsidR="00CC4CCF" w:rsidRPr="00CC4CCF" w:rsidRDefault="00CC4CCF" w:rsidP="00CC4CCF">
      <w:pPr>
        <w:pBdr>
          <w:bottom w:val="single" w:sz="4" w:space="1" w:color="auto"/>
        </w:pBdr>
        <w:rPr>
          <w:b/>
          <w:bCs/>
        </w:rPr>
      </w:pPr>
      <w:r w:rsidRPr="00CC4CCF">
        <w:rPr>
          <w:b/>
          <w:bCs/>
        </w:rPr>
        <w:t>Purpose</w:t>
      </w:r>
    </w:p>
    <w:p w14:paraId="754072E7" w14:textId="44850B58" w:rsidR="00CC4CCF" w:rsidRDefault="00CC4CCF" w:rsidP="00CC4CCF"/>
    <w:p w14:paraId="16A898C5" w14:textId="4FA0F229" w:rsidR="00CC4CCF" w:rsidRPr="00CC4CCF" w:rsidRDefault="00CC4CCF" w:rsidP="00CC4CCF">
      <w:pPr>
        <w:rPr>
          <w:lang w:bidi="en-US"/>
        </w:rPr>
      </w:pPr>
      <w:r w:rsidRPr="00CC4CCF">
        <w:rPr>
          <w:lang w:bidi="en-US"/>
        </w:rPr>
        <w:t xml:space="preserve">The goal of this agreement is to improve care, achieve optimal outcomes, and provide continuity of care to patients through the provision of pharmacy patient care services, which include therapy care plan development, medication management, education, monitoring, and follow-up, as it relates to </w:t>
      </w:r>
      <w:r w:rsidR="00641EC4">
        <w:rPr>
          <w:lang w:bidi="en-US"/>
        </w:rPr>
        <w:t>diabetes</w:t>
      </w:r>
      <w:r w:rsidRPr="00CC4CCF">
        <w:rPr>
          <w:lang w:bidi="en-US"/>
        </w:rPr>
        <w:t xml:space="preserve"> management in adults.</w:t>
      </w:r>
    </w:p>
    <w:p w14:paraId="3F10F986" w14:textId="6969B98B" w:rsidR="00CC4CCF" w:rsidRDefault="00CC4CCF" w:rsidP="00CC4CCF"/>
    <w:p w14:paraId="1800001C" w14:textId="35F35872" w:rsidR="00CC4CCF" w:rsidRPr="00CC4CCF" w:rsidRDefault="00CC4CCF" w:rsidP="00CC4CCF">
      <w:pPr>
        <w:pBdr>
          <w:bottom w:val="single" w:sz="4" w:space="1" w:color="auto"/>
        </w:pBdr>
        <w:rPr>
          <w:b/>
          <w:bCs/>
        </w:rPr>
      </w:pPr>
      <w:r w:rsidRPr="00CC4CCF">
        <w:rPr>
          <w:b/>
          <w:bCs/>
        </w:rPr>
        <w:t>Organization</w:t>
      </w:r>
    </w:p>
    <w:p w14:paraId="5394DAF7" w14:textId="10A10F7F" w:rsidR="00CC4CCF" w:rsidRDefault="00CC4CCF" w:rsidP="00CC4CCF"/>
    <w:p w14:paraId="0DDC45D8" w14:textId="6F5C771E" w:rsidR="00CC4CCF" w:rsidRPr="00CC4CCF" w:rsidRDefault="00CC4CCF" w:rsidP="00CC4CCF">
      <w:pPr>
        <w:rPr>
          <w:b/>
          <w:bCs/>
        </w:rPr>
      </w:pPr>
      <w:r w:rsidRPr="00CC4CCF">
        <w:rPr>
          <w:b/>
          <w:bCs/>
        </w:rPr>
        <w:t>Guidelines for referral</w:t>
      </w:r>
    </w:p>
    <w:p w14:paraId="512EC4DD" w14:textId="1684D40B" w:rsidR="00CC4CCF" w:rsidRDefault="00CC4CCF" w:rsidP="00CC4CCF">
      <w:pPr>
        <w:rPr>
          <w:lang w:bidi="en-US"/>
        </w:rPr>
      </w:pPr>
      <w:r w:rsidRPr="0083234A">
        <w:rPr>
          <w:lang w:bidi="en-US"/>
        </w:rPr>
        <w:t>Any patients who have an MD or DO working at {PRACTICE LOCATION} listed as their Primary Care Provider (PCP) in {EHR}, whose PCP has signed this agreement</w:t>
      </w:r>
      <w:r>
        <w:rPr>
          <w:lang w:bidi="en-US"/>
        </w:rPr>
        <w:t xml:space="preserve"> may be referred for </w:t>
      </w:r>
      <w:r w:rsidR="00641EC4">
        <w:rPr>
          <w:lang w:bidi="en-US"/>
        </w:rPr>
        <w:t>diabetes</w:t>
      </w:r>
      <w:r>
        <w:rPr>
          <w:lang w:bidi="en-US"/>
        </w:rPr>
        <w:t xml:space="preserve"> </w:t>
      </w:r>
      <w:r w:rsidRPr="0083234A">
        <w:rPr>
          <w:lang w:bidi="en-US"/>
        </w:rPr>
        <w:t>management by the pharmacist. An MD or DO may also refer a specific patient for pharmacist services through documentation in the patient’s chart in {EHR}.</w:t>
      </w:r>
    </w:p>
    <w:p w14:paraId="0A432054" w14:textId="77777777" w:rsidR="00CC4CCF" w:rsidRDefault="00CC4CCF" w:rsidP="00CC4CCF">
      <w:pPr>
        <w:rPr>
          <w:lang w:bidi="en-US"/>
        </w:rPr>
      </w:pPr>
    </w:p>
    <w:p w14:paraId="4C3BDDA1" w14:textId="7392EE5C" w:rsidR="00CC4CCF" w:rsidRDefault="00CC4CCF" w:rsidP="00CC4CCF">
      <w:pPr>
        <w:rPr>
          <w:lang w:bidi="en-US"/>
        </w:rPr>
      </w:pPr>
      <w:r>
        <w:rPr>
          <w:lang w:bidi="en-US"/>
        </w:rPr>
        <w:t xml:space="preserve">For pharmacist-identified patients who have not </w:t>
      </w:r>
      <w:r w:rsidRPr="0083234A">
        <w:rPr>
          <w:lang w:bidi="en-US"/>
        </w:rPr>
        <w:t>had an office visit with PCP in over 1 year and does not have an office visit scheduled in the next 6 months, the pharmacist will offer an appointment to the patient for an office visit with PCP</w:t>
      </w:r>
      <w:r>
        <w:rPr>
          <w:lang w:bidi="en-US"/>
        </w:rPr>
        <w:t>.</w:t>
      </w:r>
    </w:p>
    <w:p w14:paraId="66CF2FBD" w14:textId="35674A4A" w:rsidR="00CC4CCF" w:rsidRDefault="00CC4CCF" w:rsidP="00CC4CCF">
      <w:pPr>
        <w:rPr>
          <w:lang w:bidi="en-US"/>
        </w:rPr>
      </w:pPr>
    </w:p>
    <w:p w14:paraId="65E278A1" w14:textId="77777777" w:rsidR="00CC4CCF" w:rsidRPr="008166E8" w:rsidRDefault="00CC4CCF" w:rsidP="00CC4CCF">
      <w:pPr>
        <w:rPr>
          <w:b/>
          <w:bCs/>
          <w:lang w:bidi="en-US"/>
        </w:rPr>
      </w:pPr>
      <w:r w:rsidRPr="008166E8">
        <w:rPr>
          <w:b/>
          <w:bCs/>
          <w:lang w:bidi="en-US"/>
        </w:rPr>
        <w:t>Patient care services provided by the pharmacist include, but are not limited to,</w:t>
      </w:r>
    </w:p>
    <w:p w14:paraId="3C3A964D" w14:textId="77777777" w:rsidR="00CC4CCF" w:rsidRDefault="00CC4CCF" w:rsidP="00CC4CCF">
      <w:pPr>
        <w:pStyle w:val="ListParagraph"/>
        <w:numPr>
          <w:ilvl w:val="0"/>
          <w:numId w:val="1"/>
        </w:numPr>
        <w:rPr>
          <w:lang w:bidi="en-US"/>
        </w:rPr>
      </w:pPr>
      <w:r>
        <w:rPr>
          <w:lang w:bidi="en-US"/>
        </w:rPr>
        <w:t xml:space="preserve">Obtain patient medical history </w:t>
      </w:r>
    </w:p>
    <w:p w14:paraId="2EA4CB56" w14:textId="77777777" w:rsidR="00CC4CCF" w:rsidRDefault="00CC4CCF" w:rsidP="00CC4CCF">
      <w:pPr>
        <w:pStyle w:val="ListParagraph"/>
        <w:numPr>
          <w:ilvl w:val="0"/>
          <w:numId w:val="1"/>
        </w:numPr>
        <w:rPr>
          <w:lang w:bidi="en-US"/>
        </w:rPr>
      </w:pPr>
      <w:r>
        <w:rPr>
          <w:lang w:bidi="en-US"/>
        </w:rPr>
        <w:t>Order and evaluate laboratory results</w:t>
      </w:r>
    </w:p>
    <w:p w14:paraId="03196109" w14:textId="77777777" w:rsidR="00CC4CCF" w:rsidRDefault="00CC4CCF" w:rsidP="00CC4CCF">
      <w:pPr>
        <w:pStyle w:val="ListParagraph"/>
        <w:numPr>
          <w:ilvl w:val="0"/>
          <w:numId w:val="1"/>
        </w:numPr>
        <w:rPr>
          <w:lang w:bidi="en-US"/>
        </w:rPr>
      </w:pPr>
      <w:r>
        <w:rPr>
          <w:lang w:bidi="en-US"/>
        </w:rPr>
        <w:t>Make medical decisions including initiating, modifying, or discontinuing treatment</w:t>
      </w:r>
    </w:p>
    <w:p w14:paraId="7FAC51FC" w14:textId="77777777" w:rsidR="00CC4CCF" w:rsidRDefault="00CC4CCF" w:rsidP="00CC4CCF">
      <w:pPr>
        <w:pStyle w:val="ListParagraph"/>
        <w:numPr>
          <w:ilvl w:val="0"/>
          <w:numId w:val="1"/>
        </w:numPr>
        <w:rPr>
          <w:lang w:bidi="en-US"/>
        </w:rPr>
      </w:pPr>
      <w:r>
        <w:rPr>
          <w:lang w:bidi="en-US"/>
        </w:rPr>
        <w:t>Refill authorization</w:t>
      </w:r>
    </w:p>
    <w:p w14:paraId="10D227D7" w14:textId="2ECCA017" w:rsidR="00CC4CCF" w:rsidRDefault="00CC4CCF" w:rsidP="00CC4CCF">
      <w:pPr>
        <w:pStyle w:val="ListParagraph"/>
        <w:numPr>
          <w:ilvl w:val="0"/>
          <w:numId w:val="1"/>
        </w:numPr>
        <w:rPr>
          <w:lang w:bidi="en-US"/>
        </w:rPr>
      </w:pPr>
      <w:r>
        <w:rPr>
          <w:lang w:bidi="en-US"/>
        </w:rPr>
        <w:t>Provide patient counseling on medications and lifestyle modification, including diet and exercise</w:t>
      </w:r>
    </w:p>
    <w:p w14:paraId="7B265749" w14:textId="3B2E76F7" w:rsidR="00641EC4" w:rsidRDefault="00641EC4" w:rsidP="00CC4CCF">
      <w:pPr>
        <w:pStyle w:val="ListParagraph"/>
        <w:numPr>
          <w:ilvl w:val="0"/>
          <w:numId w:val="1"/>
        </w:numPr>
        <w:rPr>
          <w:lang w:bidi="en-US"/>
        </w:rPr>
      </w:pPr>
      <w:r w:rsidRPr="00641EC4">
        <w:rPr>
          <w:lang w:bidi="en-US"/>
        </w:rPr>
        <w:t>Referral to appropriate providers (i.e. diabetes educator, care management, etc.)</w:t>
      </w:r>
    </w:p>
    <w:p w14:paraId="5699D08C" w14:textId="41F2CF2B" w:rsidR="00CC4CCF" w:rsidRDefault="00CC4CCF" w:rsidP="00CC4CCF">
      <w:pPr>
        <w:rPr>
          <w:lang w:bidi="en-US"/>
        </w:rPr>
      </w:pPr>
    </w:p>
    <w:p w14:paraId="4A8C1D19" w14:textId="77777777" w:rsidR="00CC4CCF" w:rsidRPr="008166E8" w:rsidRDefault="00CC4CCF" w:rsidP="00CC4CCF">
      <w:pPr>
        <w:rPr>
          <w:b/>
          <w:bCs/>
          <w:lang w:bidi="en-US"/>
        </w:rPr>
      </w:pPr>
      <w:r w:rsidRPr="008166E8">
        <w:rPr>
          <w:b/>
          <w:bCs/>
          <w:lang w:bidi="en-US"/>
        </w:rPr>
        <w:t>Documentation</w:t>
      </w:r>
    </w:p>
    <w:p w14:paraId="7C45278A" w14:textId="77777777" w:rsidR="00CC4CCF" w:rsidRDefault="00CC4CCF" w:rsidP="00CC4CCF">
      <w:pPr>
        <w:rPr>
          <w:lang w:bidi="en-US"/>
        </w:rPr>
      </w:pPr>
      <w:r>
        <w:rPr>
          <w:lang w:bidi="en-US"/>
        </w:rPr>
        <w:t>All patient encounters will be documented in the patient record and will be available to the supervising physician for review.</w:t>
      </w:r>
    </w:p>
    <w:p w14:paraId="040AC2B6" w14:textId="77777777" w:rsidR="00CC4CCF" w:rsidRDefault="00CC4CCF" w:rsidP="00CC4CCF">
      <w:pPr>
        <w:rPr>
          <w:lang w:bidi="en-US"/>
        </w:rPr>
      </w:pPr>
    </w:p>
    <w:p w14:paraId="2BDC710C" w14:textId="77777777" w:rsidR="00CC4CCF" w:rsidRPr="008166E8" w:rsidRDefault="00CC4CCF" w:rsidP="00CC4CCF">
      <w:pPr>
        <w:pBdr>
          <w:bottom w:val="single" w:sz="4" w:space="1" w:color="auto"/>
        </w:pBdr>
        <w:rPr>
          <w:b/>
          <w:bCs/>
          <w:lang w:bidi="en-US"/>
        </w:rPr>
      </w:pPr>
      <w:r w:rsidRPr="008166E8">
        <w:rPr>
          <w:b/>
          <w:bCs/>
          <w:lang w:bidi="en-US"/>
        </w:rPr>
        <w:t>Quality Improvement</w:t>
      </w:r>
    </w:p>
    <w:p w14:paraId="42E9A44A" w14:textId="77777777" w:rsidR="00CC4CCF" w:rsidRDefault="00CC4CCF" w:rsidP="00CC4CCF">
      <w:pPr>
        <w:rPr>
          <w:lang w:bidi="en-US"/>
        </w:rPr>
      </w:pPr>
    </w:p>
    <w:p w14:paraId="185076F0" w14:textId="77777777" w:rsidR="00CC4CCF" w:rsidRDefault="00CC4CCF" w:rsidP="00CC4CCF">
      <w:pPr>
        <w:rPr>
          <w:lang w:bidi="en-US"/>
        </w:rPr>
      </w:pPr>
      <w:r w:rsidRPr="008166E8">
        <w:rPr>
          <w:lang w:bidi="en-US"/>
        </w:rPr>
        <w:t xml:space="preserve">Data will be continuously monitored to ensure that patients are receiving optimal care. Clinical activities will be reviewed </w:t>
      </w:r>
      <w:r>
        <w:rPr>
          <w:lang w:bidi="en-US"/>
        </w:rPr>
        <w:t>periodically</w:t>
      </w:r>
      <w:r w:rsidRPr="008166E8">
        <w:rPr>
          <w:lang w:bidi="en-US"/>
        </w:rPr>
        <w:t xml:space="preserve"> by the clinical pharmacist and physician providers and revised as needed. This CPA will be valid for 2 years from the date it is signed and must be reviewed and resigned by all parties after 2 years to remain effective.</w:t>
      </w:r>
    </w:p>
    <w:p w14:paraId="5CBD6D17" w14:textId="77777777" w:rsidR="00641EC4" w:rsidRDefault="00641EC4" w:rsidP="00CC4CCF">
      <w:pPr>
        <w:rPr>
          <w:lang w:bidi="en-US"/>
        </w:rPr>
      </w:pPr>
    </w:p>
    <w:p w14:paraId="3F743B3F" w14:textId="77777777" w:rsidR="00CC4CCF" w:rsidRPr="008166E8" w:rsidRDefault="00CC4CCF" w:rsidP="00CC4CCF">
      <w:pPr>
        <w:pBdr>
          <w:bottom w:val="single" w:sz="4" w:space="1" w:color="auto"/>
        </w:pBdr>
        <w:rPr>
          <w:b/>
          <w:bCs/>
          <w:lang w:bidi="en-US"/>
        </w:rPr>
      </w:pPr>
      <w:r w:rsidRPr="008166E8">
        <w:rPr>
          <w:b/>
          <w:bCs/>
          <w:lang w:bidi="en-US"/>
        </w:rPr>
        <w:t>Modifications</w:t>
      </w:r>
    </w:p>
    <w:p w14:paraId="677C4CD6" w14:textId="77777777" w:rsidR="00CC4CCF" w:rsidRPr="0083234A" w:rsidRDefault="00CC4CCF" w:rsidP="00CC4CCF">
      <w:pPr>
        <w:rPr>
          <w:lang w:bidi="en-US"/>
        </w:rPr>
      </w:pPr>
      <w:r>
        <w:t>Any modifications to this agreement must be dated and signed by all collaborative partners.</w:t>
      </w:r>
    </w:p>
    <w:p w14:paraId="1B0283EF" w14:textId="1178196A" w:rsidR="00CC4CCF" w:rsidRPr="00CC4CCF" w:rsidRDefault="00CC4CCF" w:rsidP="00CC4CCF">
      <w:pPr>
        <w:jc w:val="center"/>
        <w:rPr>
          <w:b/>
          <w:bCs/>
          <w:lang w:bidi="en-US"/>
        </w:rPr>
      </w:pPr>
      <w:r w:rsidRPr="00CC4CCF">
        <w:rPr>
          <w:b/>
          <w:bCs/>
          <w:lang w:bidi="en-US"/>
        </w:rPr>
        <w:lastRenderedPageBreak/>
        <w:t>Treatment Protocol</w:t>
      </w:r>
    </w:p>
    <w:p w14:paraId="4773B6F9" w14:textId="3D3F4287" w:rsidR="00CC4CCF" w:rsidRDefault="00CC4CCF" w:rsidP="00CC4CCF">
      <w:pPr>
        <w:jc w:val="center"/>
        <w:rPr>
          <w:lang w:bidi="en-US"/>
        </w:rPr>
      </w:pPr>
    </w:p>
    <w:p w14:paraId="28D65BE5" w14:textId="33304787" w:rsidR="00CC4CCF" w:rsidRPr="00CC4CCF" w:rsidRDefault="00CC4CCF" w:rsidP="00CC4CCF">
      <w:pPr>
        <w:rPr>
          <w:lang w:bidi="en-US"/>
        </w:rPr>
      </w:pPr>
      <w:r w:rsidRPr="00CC4CCF">
        <w:rPr>
          <w:lang w:bidi="en-US"/>
        </w:rPr>
        <w:t xml:space="preserve">The clinical pharmacist will apply nationally recognized evidence-based treatment guidelines, as well as up to date clinical research information when providing </w:t>
      </w:r>
      <w:r w:rsidR="00B501C7">
        <w:rPr>
          <w:lang w:bidi="en-US"/>
        </w:rPr>
        <w:t>diabetes</w:t>
      </w:r>
      <w:r w:rsidRPr="00CC4CCF">
        <w:rPr>
          <w:lang w:bidi="en-US"/>
        </w:rPr>
        <w:t xml:space="preserve"> management services. The following treatment guideline(s) and resources will be utilized to help direct the treatment of patients.</w:t>
      </w:r>
    </w:p>
    <w:p w14:paraId="42903682" w14:textId="77777777" w:rsidR="00CC4CCF" w:rsidRPr="00CC4CCF" w:rsidRDefault="00CC4CCF" w:rsidP="00CC4CCF">
      <w:pPr>
        <w:rPr>
          <w:lang w:bidi="en-US"/>
        </w:rPr>
      </w:pPr>
    </w:p>
    <w:p w14:paraId="337C4903" w14:textId="77777777" w:rsidR="00143241" w:rsidRPr="00143241" w:rsidRDefault="00143241" w:rsidP="00143241">
      <w:pPr>
        <w:numPr>
          <w:ilvl w:val="1"/>
          <w:numId w:val="2"/>
        </w:numPr>
        <w:rPr>
          <w:rFonts w:cstheme="minorHAnsi"/>
          <w:lang w:bidi="en-US"/>
        </w:rPr>
      </w:pPr>
      <w:r w:rsidRPr="00143241">
        <w:rPr>
          <w:rFonts w:cstheme="minorHAnsi"/>
          <w:lang w:bidi="en-US"/>
        </w:rPr>
        <w:t>2020 American Diabetes Association Standards of Medical Care in Diabetes</w:t>
      </w:r>
    </w:p>
    <w:p w14:paraId="1935B734" w14:textId="65DC2AD2" w:rsidR="00143241" w:rsidRPr="00143241" w:rsidRDefault="00143241" w:rsidP="00143241">
      <w:pPr>
        <w:numPr>
          <w:ilvl w:val="1"/>
          <w:numId w:val="2"/>
        </w:numPr>
        <w:rPr>
          <w:rFonts w:cstheme="minorHAnsi"/>
          <w:color w:val="000000" w:themeColor="text1"/>
          <w:lang w:bidi="en-US"/>
        </w:rPr>
      </w:pPr>
      <w:r>
        <w:rPr>
          <w:rFonts w:eastAsia="Times New Roman" w:cstheme="minorHAnsi"/>
          <w:color w:val="000000" w:themeColor="text1"/>
          <w:w w:val="99"/>
        </w:rPr>
        <w:t>2020</w:t>
      </w:r>
      <w:r w:rsidRPr="00143241">
        <w:rPr>
          <w:rFonts w:eastAsia="Times New Roman" w:cstheme="minorHAnsi"/>
          <w:color w:val="000000" w:themeColor="text1"/>
        </w:rPr>
        <w:t xml:space="preserve"> </w:t>
      </w:r>
      <w:r w:rsidRPr="00143241">
        <w:rPr>
          <w:rFonts w:eastAsia="Times New Roman" w:cstheme="minorHAnsi"/>
          <w:color w:val="000000" w:themeColor="text1"/>
          <w:w w:val="99"/>
        </w:rPr>
        <w:t>Consensus</w:t>
      </w:r>
      <w:r w:rsidRPr="00143241">
        <w:rPr>
          <w:rFonts w:eastAsia="Times New Roman" w:cstheme="minorHAnsi"/>
          <w:color w:val="000000" w:themeColor="text1"/>
        </w:rPr>
        <w:t xml:space="preserve"> </w:t>
      </w:r>
      <w:r w:rsidRPr="00143241">
        <w:rPr>
          <w:rFonts w:eastAsia="Times New Roman" w:cstheme="minorHAnsi"/>
          <w:color w:val="000000" w:themeColor="text1"/>
          <w:w w:val="99"/>
        </w:rPr>
        <w:t>Statement</w:t>
      </w:r>
      <w:r w:rsidRPr="00143241">
        <w:rPr>
          <w:rFonts w:eastAsia="Times New Roman" w:cstheme="minorHAnsi"/>
          <w:color w:val="000000" w:themeColor="text1"/>
        </w:rPr>
        <w:t xml:space="preserve"> </w:t>
      </w:r>
      <w:r w:rsidRPr="00143241">
        <w:rPr>
          <w:rFonts w:eastAsia="Times New Roman" w:cstheme="minorHAnsi"/>
          <w:color w:val="000000" w:themeColor="text1"/>
          <w:w w:val="99"/>
        </w:rPr>
        <w:t>by</w:t>
      </w:r>
      <w:r w:rsidRPr="00143241">
        <w:rPr>
          <w:rFonts w:eastAsia="Times New Roman" w:cstheme="minorHAnsi"/>
          <w:color w:val="000000" w:themeColor="text1"/>
        </w:rPr>
        <w:t xml:space="preserve"> </w:t>
      </w:r>
      <w:r w:rsidRPr="00143241">
        <w:rPr>
          <w:rFonts w:eastAsia="Times New Roman" w:cstheme="minorHAnsi"/>
          <w:color w:val="000000" w:themeColor="text1"/>
          <w:w w:val="99"/>
        </w:rPr>
        <w:t>the</w:t>
      </w:r>
      <w:r w:rsidRPr="00143241">
        <w:rPr>
          <w:rFonts w:eastAsia="Times New Roman" w:cstheme="minorHAnsi"/>
          <w:color w:val="000000" w:themeColor="text1"/>
        </w:rPr>
        <w:t xml:space="preserve"> </w:t>
      </w:r>
      <w:r w:rsidRPr="00143241">
        <w:rPr>
          <w:rFonts w:eastAsia="Times New Roman" w:cstheme="minorHAnsi"/>
          <w:color w:val="000000" w:themeColor="text1"/>
          <w:w w:val="99"/>
        </w:rPr>
        <w:t>Association</w:t>
      </w:r>
      <w:r w:rsidRPr="00143241">
        <w:rPr>
          <w:rFonts w:eastAsia="Times New Roman" w:cstheme="minorHAnsi"/>
          <w:color w:val="000000" w:themeColor="text1"/>
        </w:rPr>
        <w:t xml:space="preserve"> </w:t>
      </w:r>
      <w:r w:rsidRPr="00143241">
        <w:rPr>
          <w:rFonts w:eastAsia="Times New Roman" w:cstheme="minorHAnsi"/>
          <w:color w:val="000000" w:themeColor="text1"/>
          <w:w w:val="99"/>
        </w:rPr>
        <w:t>of</w:t>
      </w:r>
      <w:r w:rsidRPr="00143241">
        <w:rPr>
          <w:rFonts w:eastAsia="Times New Roman" w:cstheme="minorHAnsi"/>
          <w:color w:val="000000" w:themeColor="text1"/>
        </w:rPr>
        <w:t xml:space="preserve"> </w:t>
      </w:r>
      <w:r w:rsidRPr="00143241">
        <w:rPr>
          <w:rFonts w:eastAsia="Times New Roman" w:cstheme="minorHAnsi"/>
          <w:color w:val="000000" w:themeColor="text1"/>
          <w:w w:val="99"/>
        </w:rPr>
        <w:t>Clinical</w:t>
      </w:r>
      <w:r w:rsidRPr="00143241">
        <w:rPr>
          <w:rFonts w:eastAsia="Times New Roman" w:cstheme="minorHAnsi"/>
          <w:color w:val="000000" w:themeColor="text1"/>
        </w:rPr>
        <w:t xml:space="preserve"> </w:t>
      </w:r>
      <w:r w:rsidRPr="00143241">
        <w:rPr>
          <w:rFonts w:eastAsia="Times New Roman" w:cstheme="minorHAnsi"/>
          <w:color w:val="000000" w:themeColor="text1"/>
          <w:w w:val="99"/>
        </w:rPr>
        <w:t>Endocrinologists</w:t>
      </w:r>
      <w:r w:rsidRPr="00143241">
        <w:rPr>
          <w:rFonts w:eastAsia="Times New Roman" w:cstheme="minorHAnsi"/>
          <w:color w:val="000000" w:themeColor="text1"/>
        </w:rPr>
        <w:t xml:space="preserve"> </w:t>
      </w:r>
      <w:r w:rsidRPr="00143241">
        <w:rPr>
          <w:rFonts w:eastAsia="Times New Roman" w:cstheme="minorHAnsi"/>
          <w:color w:val="000000" w:themeColor="text1"/>
          <w:w w:val="99"/>
        </w:rPr>
        <w:t>and</w:t>
      </w:r>
      <w:r w:rsidRPr="00143241">
        <w:rPr>
          <w:rFonts w:eastAsia="Times New Roman" w:cstheme="minorHAnsi"/>
          <w:color w:val="000000" w:themeColor="text1"/>
        </w:rPr>
        <w:t xml:space="preserve"> </w:t>
      </w:r>
      <w:r w:rsidRPr="00143241">
        <w:rPr>
          <w:rFonts w:eastAsia="Times New Roman" w:cstheme="minorHAnsi"/>
          <w:color w:val="000000" w:themeColor="text1"/>
          <w:w w:val="99"/>
        </w:rPr>
        <w:t>American</w:t>
      </w:r>
      <w:r w:rsidRPr="00143241">
        <w:rPr>
          <w:rFonts w:eastAsia="Times New Roman" w:cstheme="minorHAnsi"/>
          <w:color w:val="000000" w:themeColor="text1"/>
        </w:rPr>
        <w:t xml:space="preserve"> </w:t>
      </w:r>
      <w:r w:rsidRPr="00143241">
        <w:rPr>
          <w:rFonts w:eastAsia="Times New Roman" w:cstheme="minorHAnsi"/>
          <w:color w:val="000000" w:themeColor="text1"/>
          <w:w w:val="99"/>
        </w:rPr>
        <w:t>College</w:t>
      </w:r>
      <w:r w:rsidRPr="00143241">
        <w:rPr>
          <w:rFonts w:eastAsia="Times New Roman" w:cstheme="minorHAnsi"/>
          <w:color w:val="000000" w:themeColor="text1"/>
        </w:rPr>
        <w:t xml:space="preserve"> </w:t>
      </w:r>
      <w:r w:rsidRPr="00143241">
        <w:rPr>
          <w:rFonts w:eastAsia="Times New Roman" w:cstheme="minorHAnsi"/>
          <w:color w:val="000000" w:themeColor="text1"/>
          <w:w w:val="99"/>
        </w:rPr>
        <w:t>of Endocrinology</w:t>
      </w:r>
      <w:r w:rsidRPr="00143241">
        <w:rPr>
          <w:rFonts w:eastAsia="Times New Roman" w:cstheme="minorHAnsi"/>
          <w:color w:val="000000" w:themeColor="text1"/>
        </w:rPr>
        <w:t xml:space="preserve"> </w:t>
      </w:r>
      <w:r w:rsidRPr="00143241">
        <w:rPr>
          <w:rFonts w:eastAsia="Times New Roman" w:cstheme="minorHAnsi"/>
          <w:color w:val="000000" w:themeColor="text1"/>
          <w:w w:val="99"/>
        </w:rPr>
        <w:t>on</w:t>
      </w:r>
      <w:r w:rsidRPr="00143241">
        <w:rPr>
          <w:rFonts w:eastAsia="Times New Roman" w:cstheme="minorHAnsi"/>
          <w:color w:val="000000" w:themeColor="text1"/>
        </w:rPr>
        <w:t xml:space="preserve"> </w:t>
      </w:r>
      <w:r w:rsidRPr="00143241">
        <w:rPr>
          <w:rFonts w:eastAsia="Times New Roman" w:cstheme="minorHAnsi"/>
          <w:color w:val="000000" w:themeColor="text1"/>
          <w:w w:val="99"/>
        </w:rPr>
        <w:t>the</w:t>
      </w:r>
      <w:r w:rsidRPr="00143241">
        <w:rPr>
          <w:rFonts w:eastAsia="Times New Roman" w:cstheme="minorHAnsi"/>
          <w:color w:val="000000" w:themeColor="text1"/>
        </w:rPr>
        <w:t xml:space="preserve"> </w:t>
      </w:r>
      <w:r w:rsidRPr="00143241">
        <w:rPr>
          <w:rFonts w:eastAsia="Times New Roman" w:cstheme="minorHAnsi"/>
          <w:color w:val="000000" w:themeColor="text1"/>
          <w:w w:val="99"/>
        </w:rPr>
        <w:t>Comprehensive</w:t>
      </w:r>
      <w:r w:rsidRPr="00143241">
        <w:rPr>
          <w:rFonts w:eastAsia="Times New Roman" w:cstheme="minorHAnsi"/>
          <w:color w:val="000000" w:themeColor="text1"/>
        </w:rPr>
        <w:t xml:space="preserve"> </w:t>
      </w:r>
      <w:r w:rsidRPr="00143241">
        <w:rPr>
          <w:rFonts w:eastAsia="Times New Roman" w:cstheme="minorHAnsi"/>
          <w:color w:val="000000" w:themeColor="text1"/>
          <w:w w:val="99"/>
        </w:rPr>
        <w:t>Type</w:t>
      </w:r>
      <w:r w:rsidRPr="00143241">
        <w:rPr>
          <w:rFonts w:eastAsia="Times New Roman" w:cstheme="minorHAnsi"/>
          <w:color w:val="000000" w:themeColor="text1"/>
        </w:rPr>
        <w:t xml:space="preserve"> </w:t>
      </w:r>
      <w:r w:rsidRPr="00143241">
        <w:rPr>
          <w:rFonts w:eastAsia="Times New Roman" w:cstheme="minorHAnsi"/>
          <w:color w:val="000000" w:themeColor="text1"/>
          <w:w w:val="99"/>
        </w:rPr>
        <w:t>2</w:t>
      </w:r>
      <w:r w:rsidRPr="00143241">
        <w:rPr>
          <w:rFonts w:eastAsia="Times New Roman" w:cstheme="minorHAnsi"/>
          <w:color w:val="000000" w:themeColor="text1"/>
        </w:rPr>
        <w:t xml:space="preserve"> </w:t>
      </w:r>
      <w:r w:rsidRPr="00143241">
        <w:rPr>
          <w:rFonts w:eastAsia="Times New Roman" w:cstheme="minorHAnsi"/>
          <w:color w:val="000000" w:themeColor="text1"/>
          <w:w w:val="99"/>
        </w:rPr>
        <w:t>Diabetes</w:t>
      </w:r>
      <w:r w:rsidRPr="00143241">
        <w:rPr>
          <w:rFonts w:eastAsia="Times New Roman" w:cstheme="minorHAnsi"/>
          <w:color w:val="000000" w:themeColor="text1"/>
        </w:rPr>
        <w:t xml:space="preserve"> </w:t>
      </w:r>
      <w:r w:rsidRPr="00143241">
        <w:rPr>
          <w:rFonts w:eastAsia="Times New Roman" w:cstheme="minorHAnsi"/>
          <w:color w:val="000000" w:themeColor="text1"/>
          <w:w w:val="99"/>
        </w:rPr>
        <w:t>Management</w:t>
      </w:r>
      <w:r w:rsidRPr="00143241">
        <w:rPr>
          <w:rFonts w:eastAsia="Times New Roman" w:cstheme="minorHAnsi"/>
          <w:color w:val="000000" w:themeColor="text1"/>
        </w:rPr>
        <w:t xml:space="preserve"> </w:t>
      </w:r>
      <w:r w:rsidRPr="00143241">
        <w:rPr>
          <w:rFonts w:eastAsia="Times New Roman" w:cstheme="minorHAnsi"/>
          <w:color w:val="000000" w:themeColor="text1"/>
          <w:w w:val="99"/>
        </w:rPr>
        <w:t>Algorithm</w:t>
      </w:r>
    </w:p>
    <w:p w14:paraId="3EE8073D" w14:textId="4DBE6E15" w:rsidR="00CC4CCF" w:rsidRDefault="00CC4CCF" w:rsidP="00CC4CCF">
      <w:pPr>
        <w:rPr>
          <w:lang w:bidi="en-US"/>
        </w:rPr>
      </w:pPr>
    </w:p>
    <w:p w14:paraId="5024CE92" w14:textId="004F15A9" w:rsidR="00235334" w:rsidRPr="00235334" w:rsidRDefault="00235334" w:rsidP="00235334">
      <w:r w:rsidRPr="00235334">
        <w:t>From those guidelines, the pharmacist will use the following guiding principles for management of diabetes mellitus. These principles are not binding, and the pharmacist may deviate from what is outlined below based on an individual patient’s clinical situation. If deviations are made, the pharmacist will document rationale in the patient chart.</w:t>
      </w:r>
    </w:p>
    <w:p w14:paraId="49529B15" w14:textId="6873925F" w:rsidR="00CC4CCF" w:rsidRDefault="00CC4CCF" w:rsidP="00CC4CCF"/>
    <w:p w14:paraId="34C34777" w14:textId="42996ADC" w:rsidR="009D7216" w:rsidRDefault="009D7216" w:rsidP="00CC4CCF"/>
    <w:p w14:paraId="12A55078" w14:textId="6B0CB733" w:rsidR="009D7216" w:rsidRDefault="009D7216" w:rsidP="00CC4CCF"/>
    <w:p w14:paraId="61DD14CA" w14:textId="79736D8F" w:rsidR="009D7216" w:rsidRDefault="009D7216" w:rsidP="00CC4CCF"/>
    <w:p w14:paraId="5C3F0188" w14:textId="782A9E89" w:rsidR="009D7216" w:rsidRDefault="009D7216" w:rsidP="00CC4CCF"/>
    <w:p w14:paraId="1610EFB3" w14:textId="22C8584E" w:rsidR="009D7216" w:rsidRDefault="009D7216" w:rsidP="00CC4CCF"/>
    <w:p w14:paraId="7AF07D9A" w14:textId="770F71E8" w:rsidR="009D7216" w:rsidRDefault="009D7216" w:rsidP="00CC4CCF"/>
    <w:p w14:paraId="2691BFF4" w14:textId="407DB20E" w:rsidR="009D7216" w:rsidRDefault="009D7216" w:rsidP="00CC4CCF"/>
    <w:p w14:paraId="3124A8B1" w14:textId="66684D77" w:rsidR="009D7216" w:rsidRDefault="009D7216" w:rsidP="00CC4CCF"/>
    <w:p w14:paraId="4A70ACCA" w14:textId="5FA1A410" w:rsidR="009D7216" w:rsidRDefault="009D7216" w:rsidP="00CC4CCF"/>
    <w:p w14:paraId="571FDC1E" w14:textId="7C4C50B9" w:rsidR="009D7216" w:rsidRDefault="009D7216" w:rsidP="00CC4CCF"/>
    <w:p w14:paraId="16C1C3A5" w14:textId="227B3CED" w:rsidR="009D7216" w:rsidRDefault="009D7216" w:rsidP="00CC4CCF"/>
    <w:p w14:paraId="6CDD1B79" w14:textId="7973E6D1" w:rsidR="009D7216" w:rsidRDefault="009D7216" w:rsidP="00CC4CCF"/>
    <w:p w14:paraId="6E6AD57C" w14:textId="138CF61A" w:rsidR="009D7216" w:rsidRDefault="009D7216" w:rsidP="00CC4CCF"/>
    <w:p w14:paraId="21CA0742" w14:textId="5E853136" w:rsidR="009D7216" w:rsidRDefault="009D7216" w:rsidP="00CC4CCF"/>
    <w:p w14:paraId="36BDD456" w14:textId="2B87BA6A" w:rsidR="009D7216" w:rsidRDefault="009D7216" w:rsidP="00CC4CCF"/>
    <w:p w14:paraId="11073FD0" w14:textId="5E27D717" w:rsidR="009D7216" w:rsidRDefault="009D7216" w:rsidP="00CC4CCF"/>
    <w:p w14:paraId="397386F7" w14:textId="200D8401" w:rsidR="009D7216" w:rsidRDefault="009D7216" w:rsidP="00CC4CCF"/>
    <w:p w14:paraId="418DDEC6" w14:textId="7AA8258C" w:rsidR="009D7216" w:rsidRDefault="009D7216" w:rsidP="00CC4CCF"/>
    <w:p w14:paraId="1FB560F9" w14:textId="0C5606B4" w:rsidR="009D7216" w:rsidRDefault="009D7216" w:rsidP="00CC4CCF"/>
    <w:p w14:paraId="5B4BDD7D" w14:textId="087CE3CC" w:rsidR="009D7216" w:rsidRDefault="009D7216" w:rsidP="00CC4CCF"/>
    <w:p w14:paraId="3A3BC55A" w14:textId="220EE909" w:rsidR="009D7216" w:rsidRDefault="009D7216" w:rsidP="00CC4CCF"/>
    <w:p w14:paraId="310EC1DB" w14:textId="1E2FC242" w:rsidR="009D7216" w:rsidRDefault="009D7216" w:rsidP="00CC4CCF"/>
    <w:p w14:paraId="293C0D55" w14:textId="7FD847EC" w:rsidR="009D7216" w:rsidRDefault="009D7216" w:rsidP="00CC4CCF"/>
    <w:p w14:paraId="274C24F8" w14:textId="2F32F7DD" w:rsidR="009D7216" w:rsidRDefault="009D7216" w:rsidP="00CC4CCF"/>
    <w:p w14:paraId="515BB4D9" w14:textId="4635C153" w:rsidR="009D7216" w:rsidRDefault="009D7216" w:rsidP="00CC4CCF"/>
    <w:p w14:paraId="1746547D" w14:textId="0023EFE5" w:rsidR="009D7216" w:rsidRDefault="009D7216" w:rsidP="00CC4CCF"/>
    <w:p w14:paraId="06268079" w14:textId="0E1B55F6" w:rsidR="009D7216" w:rsidRDefault="009D7216" w:rsidP="00CC4CCF"/>
    <w:p w14:paraId="52FA56C7" w14:textId="77777777" w:rsidR="009D7216" w:rsidRDefault="009D7216" w:rsidP="00CC4CCF">
      <w:pPr>
        <w:sectPr w:rsidR="009D7216" w:rsidSect="009D7216">
          <w:pgSz w:w="12240" w:h="15840"/>
          <w:pgMar w:top="1440" w:right="1440" w:bottom="1440" w:left="1440" w:header="720" w:footer="720" w:gutter="0"/>
          <w:cols w:space="720"/>
          <w:docGrid w:linePitch="360"/>
        </w:sectPr>
      </w:pPr>
    </w:p>
    <w:p w14:paraId="49BD7417" w14:textId="7F24BDAD" w:rsidR="009D7216" w:rsidRDefault="009D7216" w:rsidP="00CC4CCF">
      <w:r>
        <w:rPr>
          <w:noProof/>
        </w:rPr>
        <w:lastRenderedPageBreak/>
        <w:drawing>
          <wp:inline distT="0" distB="0" distL="0" distR="0" wp14:anchorId="2D07D030" wp14:editId="151FC712">
            <wp:extent cx="8122920" cy="4933507"/>
            <wp:effectExtent l="0" t="0" r="5080" b="0"/>
            <wp:docPr id="1" name="Picture 1" descr="A screenshot of a cell ph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48568" cy="4949085"/>
                    </a:xfrm>
                    <a:prstGeom prst="rect">
                      <a:avLst/>
                    </a:prstGeom>
                    <a:noFill/>
                    <a:ln>
                      <a:noFill/>
                    </a:ln>
                  </pic:spPr>
                </pic:pic>
              </a:graphicData>
            </a:graphic>
          </wp:inline>
        </w:drawing>
      </w:r>
    </w:p>
    <w:p w14:paraId="0DFA9156" w14:textId="77777777" w:rsidR="009D7216" w:rsidRDefault="009D7216" w:rsidP="00CC4CCF"/>
    <w:p w14:paraId="66892F9E" w14:textId="77777777" w:rsidR="009D7216" w:rsidRDefault="009D7216" w:rsidP="00CC4CCF"/>
    <w:p w14:paraId="34FDE9F5" w14:textId="4296EA3E" w:rsidR="009D7216" w:rsidRDefault="009D7216" w:rsidP="009D7216">
      <w:pPr>
        <w:spacing w:before="36" w:line="247" w:lineRule="auto"/>
        <w:ind w:left="251" w:right="1422"/>
        <w:rPr>
          <w:sz w:val="18"/>
          <w:szCs w:val="18"/>
        </w:rPr>
      </w:pPr>
      <w:r>
        <w:rPr>
          <w:rFonts w:ascii="Times New Roman" w:eastAsia="Times New Roman" w:hAnsi="Times New Roman" w:cs="Times New Roman"/>
          <w:sz w:val="18"/>
          <w:szCs w:val="18"/>
        </w:rPr>
        <w:t>American Diabetes Association. 9. Pharmacologic Approaches to Glycemic Treatment: Standards of Medical Care in Diabetes-2020. Diabetes Care. 2020;43(Suppl 1</w:t>
      </w:r>
      <w:proofErr w:type="gramStart"/>
      <w:r>
        <w:rPr>
          <w:rFonts w:ascii="Times New Roman" w:eastAsia="Times New Roman" w:hAnsi="Times New Roman" w:cs="Times New Roman"/>
          <w:sz w:val="18"/>
          <w:szCs w:val="18"/>
        </w:rPr>
        <w:t>):S</w:t>
      </w:r>
      <w:proofErr w:type="gramEnd"/>
      <w:r>
        <w:rPr>
          <w:rFonts w:ascii="Times New Roman" w:eastAsia="Times New Roman" w:hAnsi="Times New Roman" w:cs="Times New Roman"/>
          <w:sz w:val="18"/>
          <w:szCs w:val="18"/>
        </w:rPr>
        <w:t>98–S110. doi:10.2337/dc20-S009</w:t>
      </w:r>
    </w:p>
    <w:p w14:paraId="3FF886D6" w14:textId="60A64A9C" w:rsidR="009D7216" w:rsidRDefault="009D7216" w:rsidP="00CC4CCF">
      <w:pPr>
        <w:sectPr w:rsidR="009D7216" w:rsidSect="009D7216">
          <w:pgSz w:w="15840" w:h="12240" w:orient="landscape"/>
          <w:pgMar w:top="1440" w:right="1440" w:bottom="1440" w:left="1440" w:header="720" w:footer="720" w:gutter="0"/>
          <w:cols w:space="720"/>
          <w:docGrid w:linePitch="360"/>
        </w:sectPr>
      </w:pPr>
    </w:p>
    <w:p w14:paraId="1EA43BCD" w14:textId="3EF39C31" w:rsidR="009D7216" w:rsidRDefault="009D7216" w:rsidP="00CC4CCF">
      <w:r>
        <w:rPr>
          <w:noProof/>
        </w:rPr>
        <w:lastRenderedPageBreak/>
        <w:drawing>
          <wp:inline distT="0" distB="0" distL="0" distR="0" wp14:anchorId="14B74DCE" wp14:editId="05037462">
            <wp:extent cx="6049108" cy="4845538"/>
            <wp:effectExtent l="0" t="0" r="0" b="6350"/>
            <wp:docPr id="2" name="Picture 2" descr="A screenshot of a comput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7765" cy="4868493"/>
                    </a:xfrm>
                    <a:prstGeom prst="rect">
                      <a:avLst/>
                    </a:prstGeom>
                    <a:noFill/>
                    <a:ln>
                      <a:noFill/>
                    </a:ln>
                  </pic:spPr>
                </pic:pic>
              </a:graphicData>
            </a:graphic>
          </wp:inline>
        </w:drawing>
      </w:r>
    </w:p>
    <w:p w14:paraId="22BBD699" w14:textId="2F1806DA" w:rsidR="00317D03" w:rsidRDefault="00317D03" w:rsidP="00317D03">
      <w:pPr>
        <w:spacing w:before="31"/>
        <w:ind w:left="660"/>
        <w:rPr>
          <w:rFonts w:ascii="Times New Roman" w:eastAsia="Times New Roman" w:hAnsi="Times New Roman" w:cs="Times New Roman"/>
          <w:position w:val="-1"/>
          <w:sz w:val="18"/>
          <w:szCs w:val="18"/>
        </w:rPr>
      </w:pPr>
      <w:r>
        <w:rPr>
          <w:rFonts w:ascii="Times New Roman" w:eastAsia="Times New Roman" w:hAnsi="Times New Roman" w:cs="Times New Roman"/>
          <w:sz w:val="18"/>
          <w:szCs w:val="18"/>
        </w:rPr>
        <w:t>Garber AJ et al. Consensus Statement by the Association of Clinical Endocrinologists and American College of Endocrinology on the</w:t>
      </w:r>
      <w:r>
        <w:rPr>
          <w:sz w:val="18"/>
          <w:szCs w:val="18"/>
        </w:rPr>
        <w:t xml:space="preserve"> </w:t>
      </w:r>
      <w:r>
        <w:rPr>
          <w:rFonts w:ascii="Times New Roman" w:eastAsia="Times New Roman" w:hAnsi="Times New Roman" w:cs="Times New Roman"/>
          <w:sz w:val="18"/>
          <w:szCs w:val="18"/>
        </w:rPr>
        <w:t xml:space="preserve">Comprehensive Type 2 Diabetes Management Algorithm – 2020 Executive Summary. </w:t>
      </w:r>
      <w:proofErr w:type="spellStart"/>
      <w:r>
        <w:rPr>
          <w:rFonts w:ascii="Times New Roman" w:eastAsia="Times New Roman" w:hAnsi="Times New Roman" w:cs="Times New Roman"/>
          <w:sz w:val="18"/>
          <w:szCs w:val="18"/>
        </w:rPr>
        <w:t>Endocr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Pract</w:t>
      </w:r>
      <w:proofErr w:type="spellEnd"/>
      <w:r>
        <w:rPr>
          <w:rFonts w:ascii="Times New Roman" w:eastAsia="Times New Roman" w:hAnsi="Times New Roman" w:cs="Times New Roman"/>
          <w:sz w:val="18"/>
          <w:szCs w:val="18"/>
        </w:rPr>
        <w:t xml:space="preserve">. Jan;26(1):107-139. </w:t>
      </w:r>
      <w:proofErr w:type="spellStart"/>
      <w:r>
        <w:rPr>
          <w:rFonts w:ascii="Times New Roman" w:eastAsia="Times New Roman" w:hAnsi="Times New Roman" w:cs="Times New Roman"/>
          <w:sz w:val="18"/>
          <w:szCs w:val="18"/>
        </w:rPr>
        <w:t>doi</w:t>
      </w:r>
      <w:proofErr w:type="spellEnd"/>
      <w:r>
        <w:rPr>
          <w:sz w:val="18"/>
          <w:szCs w:val="18"/>
        </w:rPr>
        <w:t xml:space="preserve"> </w:t>
      </w:r>
      <w:r>
        <w:rPr>
          <w:rFonts w:ascii="Times New Roman" w:eastAsia="Times New Roman" w:hAnsi="Times New Roman" w:cs="Times New Roman"/>
          <w:position w:val="-1"/>
          <w:sz w:val="18"/>
          <w:szCs w:val="18"/>
        </w:rPr>
        <w:t>10.4158/CS-2019-0472</w:t>
      </w:r>
    </w:p>
    <w:p w14:paraId="762909C0" w14:textId="1F6806E9" w:rsidR="00647228" w:rsidRDefault="00647228" w:rsidP="00317D03">
      <w:pPr>
        <w:spacing w:before="31"/>
        <w:ind w:left="660"/>
        <w:rPr>
          <w:rFonts w:ascii="Times New Roman" w:eastAsia="Times New Roman" w:hAnsi="Times New Roman" w:cs="Times New Roman"/>
          <w:position w:val="-1"/>
          <w:sz w:val="18"/>
          <w:szCs w:val="18"/>
        </w:rPr>
      </w:pPr>
    </w:p>
    <w:p w14:paraId="74DDCB5E" w14:textId="1C3920FB" w:rsidR="00647228" w:rsidRPr="00647228" w:rsidRDefault="00647228" w:rsidP="00647228">
      <w:pPr>
        <w:spacing w:before="31"/>
        <w:rPr>
          <w:u w:val="single"/>
        </w:rPr>
      </w:pPr>
      <w:r w:rsidRPr="00647228">
        <w:rPr>
          <w:u w:val="single"/>
        </w:rPr>
        <w:t>Lifestyle/Diet Modification</w:t>
      </w:r>
    </w:p>
    <w:p w14:paraId="56B2F202" w14:textId="4D4E0CFB" w:rsidR="00647228" w:rsidRDefault="00647228" w:rsidP="00647228">
      <w:pPr>
        <w:pStyle w:val="ListParagraph"/>
        <w:numPr>
          <w:ilvl w:val="0"/>
          <w:numId w:val="5"/>
        </w:numPr>
        <w:spacing w:before="31"/>
      </w:pPr>
      <w:r>
        <w:t>May not be enough alone</w:t>
      </w:r>
    </w:p>
    <w:p w14:paraId="4654DF89" w14:textId="7B6965A7" w:rsidR="00647228" w:rsidRDefault="00647228" w:rsidP="00647228">
      <w:pPr>
        <w:pStyle w:val="ListParagraph"/>
        <w:numPr>
          <w:ilvl w:val="0"/>
          <w:numId w:val="5"/>
        </w:numPr>
        <w:spacing w:before="31"/>
      </w:pPr>
      <w:r>
        <w:t>Referral to dietician/diabetes educator as appropriate</w:t>
      </w:r>
    </w:p>
    <w:p w14:paraId="156DB374" w14:textId="1F7705E7" w:rsidR="00647228" w:rsidRDefault="00647228" w:rsidP="00647228">
      <w:pPr>
        <w:pStyle w:val="ListParagraph"/>
        <w:numPr>
          <w:ilvl w:val="0"/>
          <w:numId w:val="5"/>
        </w:numPr>
        <w:spacing w:before="31"/>
      </w:pPr>
      <w:r>
        <w:t>Recommended diabetes education annually</w:t>
      </w:r>
    </w:p>
    <w:p w14:paraId="342A42D7" w14:textId="1C711EF5" w:rsidR="00647228" w:rsidRDefault="00647228" w:rsidP="00647228">
      <w:pPr>
        <w:pStyle w:val="ListParagraph"/>
        <w:numPr>
          <w:ilvl w:val="0"/>
          <w:numId w:val="5"/>
        </w:numPr>
        <w:spacing w:before="31"/>
      </w:pPr>
      <w:r>
        <w:t xml:space="preserve">Cost </w:t>
      </w:r>
      <w:r w:rsidRPr="00647228">
        <w:t>may limit patients’ ability/willingness to participate in these services</w:t>
      </w:r>
    </w:p>
    <w:p w14:paraId="3ABD6CF4" w14:textId="39BCCDDF" w:rsidR="00647228" w:rsidRDefault="00647228" w:rsidP="00647228">
      <w:pPr>
        <w:spacing w:before="31"/>
      </w:pPr>
    </w:p>
    <w:p w14:paraId="1B32BB3B" w14:textId="7C413A99" w:rsidR="00647228" w:rsidRPr="00647228" w:rsidRDefault="00647228" w:rsidP="00647228">
      <w:pPr>
        <w:spacing w:before="31"/>
        <w:rPr>
          <w:u w:val="single"/>
        </w:rPr>
      </w:pPr>
      <w:r w:rsidRPr="00647228">
        <w:rPr>
          <w:u w:val="single"/>
        </w:rPr>
        <w:t xml:space="preserve">First-line Pharmacologic Treatment – Metformin </w:t>
      </w:r>
    </w:p>
    <w:p w14:paraId="6D71FD62" w14:textId="5668FC12" w:rsidR="00647228" w:rsidRDefault="00647228" w:rsidP="00647228">
      <w:pPr>
        <w:pStyle w:val="ListParagraph"/>
        <w:numPr>
          <w:ilvl w:val="0"/>
          <w:numId w:val="6"/>
        </w:numPr>
        <w:spacing w:before="31"/>
      </w:pPr>
      <w:r w:rsidRPr="00647228">
        <w:t>XR formulation may decrease adverse gastrointestinal side effects</w:t>
      </w:r>
    </w:p>
    <w:p w14:paraId="149B28F1" w14:textId="501B9D77" w:rsidR="00647228" w:rsidRDefault="00647228" w:rsidP="00647228">
      <w:pPr>
        <w:pStyle w:val="ListParagraph"/>
        <w:numPr>
          <w:ilvl w:val="0"/>
          <w:numId w:val="6"/>
        </w:numPr>
        <w:spacing w:before="31"/>
      </w:pPr>
      <w:r w:rsidRPr="00647228">
        <w:t>Recommended starting dose = 500 mg daily (XR or IR)</w:t>
      </w:r>
    </w:p>
    <w:p w14:paraId="4E74D165" w14:textId="09E6CED1" w:rsidR="00647228" w:rsidRDefault="00647228" w:rsidP="00647228">
      <w:pPr>
        <w:pStyle w:val="ListParagraph"/>
        <w:numPr>
          <w:ilvl w:val="0"/>
          <w:numId w:val="6"/>
        </w:numPr>
        <w:spacing w:before="31"/>
      </w:pPr>
      <w:r w:rsidRPr="00647228">
        <w:t>Increase dose every 1-2 weeks to further limit adverse GI effects</w:t>
      </w:r>
    </w:p>
    <w:p w14:paraId="7698E2F7" w14:textId="022B3843" w:rsidR="00647228" w:rsidRDefault="00647228" w:rsidP="00647228">
      <w:pPr>
        <w:pStyle w:val="ListParagraph"/>
        <w:numPr>
          <w:ilvl w:val="0"/>
          <w:numId w:val="6"/>
        </w:numPr>
        <w:spacing w:before="31"/>
      </w:pPr>
      <w:r w:rsidRPr="00647228">
        <w:t>Max effective dose = 2,000 mg daily (XR or IR)</w:t>
      </w:r>
    </w:p>
    <w:p w14:paraId="4F1A0149" w14:textId="7CB978DA" w:rsidR="00647228" w:rsidRDefault="00647228" w:rsidP="00647228">
      <w:pPr>
        <w:pStyle w:val="ListParagraph"/>
        <w:numPr>
          <w:ilvl w:val="0"/>
          <w:numId w:val="6"/>
        </w:numPr>
        <w:spacing w:before="31"/>
      </w:pPr>
      <w:r w:rsidRPr="00647228">
        <w:t>Emerging evidence shows safe use with decreased dose and monitoring down to eGFR of 30 mL/min</w:t>
      </w:r>
    </w:p>
    <w:p w14:paraId="725E3801" w14:textId="07460569" w:rsidR="00647228" w:rsidRDefault="00647228" w:rsidP="00647228">
      <w:pPr>
        <w:pStyle w:val="ListParagraph"/>
        <w:numPr>
          <w:ilvl w:val="0"/>
          <w:numId w:val="6"/>
        </w:numPr>
        <w:spacing w:before="31"/>
      </w:pPr>
      <w:r w:rsidRPr="00647228">
        <w:t>Okay to initiate if eGFR greater than 45 mL/min</w:t>
      </w:r>
    </w:p>
    <w:p w14:paraId="244A4E1C" w14:textId="5A578C6A" w:rsidR="00647228" w:rsidRPr="00647228" w:rsidRDefault="00647228" w:rsidP="00647228">
      <w:pPr>
        <w:spacing w:before="31"/>
        <w:rPr>
          <w:u w:val="single"/>
        </w:rPr>
      </w:pPr>
      <w:r w:rsidRPr="00647228">
        <w:rPr>
          <w:u w:val="single"/>
        </w:rPr>
        <w:lastRenderedPageBreak/>
        <w:t xml:space="preserve">If Not at Goal A1c Within 3 Months </w:t>
      </w:r>
      <w:r>
        <w:rPr>
          <w:u w:val="single"/>
        </w:rPr>
        <w:t>o</w:t>
      </w:r>
      <w:r w:rsidRPr="00647228">
        <w:rPr>
          <w:u w:val="single"/>
        </w:rPr>
        <w:t>f Therapy</w:t>
      </w:r>
    </w:p>
    <w:p w14:paraId="5AD3B463" w14:textId="422C9001" w:rsidR="00647228" w:rsidRDefault="00647228" w:rsidP="00647228">
      <w:pPr>
        <w:pStyle w:val="ListParagraph"/>
        <w:numPr>
          <w:ilvl w:val="0"/>
          <w:numId w:val="9"/>
        </w:numPr>
        <w:spacing w:before="31"/>
      </w:pPr>
      <w:r>
        <w:t>Add-on additional agent</w:t>
      </w:r>
    </w:p>
    <w:p w14:paraId="429D6123" w14:textId="7F5E080C" w:rsidR="00647228" w:rsidRDefault="00647228" w:rsidP="00647228">
      <w:pPr>
        <w:pStyle w:val="ListParagraph"/>
        <w:numPr>
          <w:ilvl w:val="0"/>
          <w:numId w:val="9"/>
        </w:numPr>
        <w:spacing w:before="31"/>
      </w:pPr>
      <w:r>
        <w:t xml:space="preserve">Second-line </w:t>
      </w:r>
      <w:r w:rsidRPr="00647228">
        <w:t>– in order of clinical pharmacist preference, in absence of contraindication/precaution or cost concerns, based on appropriateness for when hyperglycemia is occurring, and taking into consideration co-morbid conditions, as outlined in the ADA 2020 Standards of Medical Care in Diabetes and 2019 AACE/ACE Comprehensive Type 2 Diabetes Management Algorithm</w:t>
      </w:r>
    </w:p>
    <w:p w14:paraId="61682108" w14:textId="6D244616" w:rsidR="00647228" w:rsidRDefault="00647228" w:rsidP="00647228">
      <w:pPr>
        <w:pStyle w:val="ListParagraph"/>
        <w:numPr>
          <w:ilvl w:val="1"/>
          <w:numId w:val="9"/>
        </w:numPr>
        <w:spacing w:before="31"/>
      </w:pPr>
      <w:r>
        <w:t>GLP-1 agonist</w:t>
      </w:r>
    </w:p>
    <w:p w14:paraId="419C2F71" w14:textId="724AEE28" w:rsidR="00647228" w:rsidRDefault="00647228" w:rsidP="00647228">
      <w:pPr>
        <w:pStyle w:val="ListParagraph"/>
        <w:numPr>
          <w:ilvl w:val="1"/>
          <w:numId w:val="9"/>
        </w:numPr>
        <w:spacing w:before="31"/>
      </w:pPr>
      <w:r>
        <w:t>SGLT-2 inhibitor</w:t>
      </w:r>
    </w:p>
    <w:p w14:paraId="3F9F6034" w14:textId="195F5A0D" w:rsidR="00647228" w:rsidRDefault="00647228" w:rsidP="00647228">
      <w:pPr>
        <w:pStyle w:val="ListParagraph"/>
        <w:numPr>
          <w:ilvl w:val="1"/>
          <w:numId w:val="9"/>
        </w:numPr>
        <w:spacing w:before="31"/>
      </w:pPr>
      <w:r>
        <w:t>Basal insulin</w:t>
      </w:r>
    </w:p>
    <w:p w14:paraId="52F86674" w14:textId="730AAFF9" w:rsidR="00647228" w:rsidRDefault="00647228" w:rsidP="00647228">
      <w:pPr>
        <w:pStyle w:val="ListParagraph"/>
        <w:numPr>
          <w:ilvl w:val="1"/>
          <w:numId w:val="9"/>
        </w:numPr>
        <w:spacing w:before="31"/>
      </w:pPr>
      <w:r>
        <w:t>Sulfonylurea</w:t>
      </w:r>
    </w:p>
    <w:p w14:paraId="443AE574" w14:textId="680F18C8" w:rsidR="00647228" w:rsidRDefault="00647228" w:rsidP="00647228">
      <w:pPr>
        <w:pStyle w:val="ListParagraph"/>
        <w:numPr>
          <w:ilvl w:val="1"/>
          <w:numId w:val="9"/>
        </w:numPr>
        <w:spacing w:before="31"/>
      </w:pPr>
      <w:r>
        <w:t>Thiazolidinedione</w:t>
      </w:r>
    </w:p>
    <w:p w14:paraId="65DCADA1" w14:textId="0E57064E" w:rsidR="00647228" w:rsidRDefault="00647228" w:rsidP="00647228">
      <w:pPr>
        <w:pStyle w:val="ListParagraph"/>
        <w:numPr>
          <w:ilvl w:val="1"/>
          <w:numId w:val="9"/>
        </w:numPr>
        <w:spacing w:before="31"/>
      </w:pPr>
      <w:r>
        <w:t>DPP-IV inhibitor</w:t>
      </w:r>
    </w:p>
    <w:p w14:paraId="3DA9920B" w14:textId="673F03F8" w:rsidR="00647228" w:rsidRDefault="00647228" w:rsidP="00647228">
      <w:pPr>
        <w:pStyle w:val="ListParagraph"/>
        <w:numPr>
          <w:ilvl w:val="0"/>
          <w:numId w:val="9"/>
        </w:numPr>
        <w:spacing w:before="31"/>
      </w:pPr>
      <w:r>
        <w:t>Other available agents</w:t>
      </w:r>
    </w:p>
    <w:p w14:paraId="3FFEE562" w14:textId="5DCBFB28" w:rsidR="005675D2" w:rsidRDefault="00647228" w:rsidP="005675D2">
      <w:pPr>
        <w:pStyle w:val="ListParagraph"/>
        <w:numPr>
          <w:ilvl w:val="0"/>
          <w:numId w:val="9"/>
        </w:numPr>
        <w:spacing w:before="31"/>
      </w:pPr>
      <w:r>
        <w:t>If uncontrolled on combination of 3 oral/injectable medications – basal/bolus or 70/30 insulin</w:t>
      </w:r>
    </w:p>
    <w:p w14:paraId="756F1108" w14:textId="33D09DC4" w:rsidR="005675D2" w:rsidRDefault="005675D2" w:rsidP="005675D2">
      <w:pPr>
        <w:spacing w:before="31"/>
      </w:pPr>
    </w:p>
    <w:p w14:paraId="65413288" w14:textId="113C6C71" w:rsidR="005675D2" w:rsidRDefault="005675D2" w:rsidP="005675D2">
      <w:pPr>
        <w:spacing w:before="31"/>
      </w:pPr>
    </w:p>
    <w:p w14:paraId="5618E724" w14:textId="146843D8" w:rsidR="005675D2" w:rsidRDefault="005675D2" w:rsidP="005675D2">
      <w:pPr>
        <w:spacing w:before="31"/>
      </w:pPr>
    </w:p>
    <w:p w14:paraId="7EFF814B" w14:textId="2B10138E" w:rsidR="005675D2" w:rsidRDefault="005675D2" w:rsidP="005675D2">
      <w:pPr>
        <w:spacing w:before="31"/>
      </w:pPr>
    </w:p>
    <w:p w14:paraId="22CB0B6D" w14:textId="62820A18" w:rsidR="005675D2" w:rsidRDefault="005675D2" w:rsidP="005675D2">
      <w:pPr>
        <w:spacing w:before="31"/>
      </w:pPr>
    </w:p>
    <w:p w14:paraId="31CA2F15" w14:textId="347D15D7" w:rsidR="005675D2" w:rsidRDefault="005675D2" w:rsidP="005675D2">
      <w:pPr>
        <w:spacing w:before="31"/>
      </w:pPr>
    </w:p>
    <w:p w14:paraId="3DBBB172" w14:textId="6493422C" w:rsidR="005675D2" w:rsidRDefault="005675D2" w:rsidP="005675D2">
      <w:pPr>
        <w:spacing w:before="31"/>
      </w:pPr>
    </w:p>
    <w:p w14:paraId="005E7113" w14:textId="42248646" w:rsidR="005675D2" w:rsidRDefault="005675D2" w:rsidP="005675D2">
      <w:pPr>
        <w:spacing w:before="31"/>
      </w:pPr>
    </w:p>
    <w:p w14:paraId="0E3FF0E5" w14:textId="46092B4D" w:rsidR="005675D2" w:rsidRDefault="005675D2" w:rsidP="005675D2">
      <w:pPr>
        <w:spacing w:before="31"/>
      </w:pPr>
    </w:p>
    <w:p w14:paraId="68CF05F5" w14:textId="692471CD" w:rsidR="005675D2" w:rsidRDefault="005675D2" w:rsidP="005675D2">
      <w:pPr>
        <w:spacing w:before="31"/>
      </w:pPr>
    </w:p>
    <w:p w14:paraId="362EB198" w14:textId="385FF22E" w:rsidR="005675D2" w:rsidRDefault="005675D2" w:rsidP="005675D2">
      <w:pPr>
        <w:spacing w:before="31"/>
      </w:pPr>
    </w:p>
    <w:p w14:paraId="53DAA002" w14:textId="053949A4" w:rsidR="005675D2" w:rsidRDefault="005675D2" w:rsidP="005675D2">
      <w:pPr>
        <w:spacing w:before="31"/>
      </w:pPr>
    </w:p>
    <w:p w14:paraId="01CAD50D" w14:textId="5D5BF73D" w:rsidR="005675D2" w:rsidRDefault="005675D2" w:rsidP="005675D2">
      <w:pPr>
        <w:spacing w:before="31"/>
      </w:pPr>
    </w:p>
    <w:p w14:paraId="2C28BCC0" w14:textId="31DDD736" w:rsidR="005675D2" w:rsidRDefault="005675D2" w:rsidP="005675D2">
      <w:pPr>
        <w:spacing w:before="31"/>
      </w:pPr>
    </w:p>
    <w:p w14:paraId="2695F4B5" w14:textId="61D97F2C" w:rsidR="005675D2" w:rsidRDefault="005675D2" w:rsidP="005675D2">
      <w:pPr>
        <w:spacing w:before="31"/>
      </w:pPr>
    </w:p>
    <w:p w14:paraId="6FF09665" w14:textId="7BC6919B" w:rsidR="005675D2" w:rsidRDefault="005675D2" w:rsidP="005675D2">
      <w:pPr>
        <w:spacing w:before="31"/>
      </w:pPr>
    </w:p>
    <w:p w14:paraId="0BCCDD53" w14:textId="4D536FED" w:rsidR="005675D2" w:rsidRDefault="005675D2" w:rsidP="005675D2">
      <w:pPr>
        <w:spacing w:before="31"/>
      </w:pPr>
    </w:p>
    <w:p w14:paraId="14F9A879" w14:textId="48C0E779" w:rsidR="005675D2" w:rsidRDefault="005675D2" w:rsidP="005675D2">
      <w:pPr>
        <w:spacing w:before="31"/>
      </w:pPr>
    </w:p>
    <w:p w14:paraId="2B7CEBAB" w14:textId="7269C95F" w:rsidR="005675D2" w:rsidRDefault="005675D2" w:rsidP="005675D2">
      <w:pPr>
        <w:spacing w:before="31"/>
      </w:pPr>
    </w:p>
    <w:p w14:paraId="5F5F41F0" w14:textId="64717AEA" w:rsidR="005675D2" w:rsidRDefault="005675D2" w:rsidP="005675D2">
      <w:pPr>
        <w:spacing w:before="31"/>
      </w:pPr>
    </w:p>
    <w:p w14:paraId="70853DF8" w14:textId="42A74090" w:rsidR="005675D2" w:rsidRDefault="005675D2" w:rsidP="005675D2">
      <w:pPr>
        <w:spacing w:before="31"/>
      </w:pPr>
    </w:p>
    <w:p w14:paraId="2564BCB1" w14:textId="24A786C1" w:rsidR="005675D2" w:rsidRDefault="005675D2" w:rsidP="005675D2">
      <w:pPr>
        <w:spacing w:before="31"/>
      </w:pPr>
    </w:p>
    <w:p w14:paraId="49E95349" w14:textId="172CE1B4" w:rsidR="005675D2" w:rsidRDefault="005675D2" w:rsidP="005675D2">
      <w:pPr>
        <w:spacing w:before="31"/>
      </w:pPr>
    </w:p>
    <w:p w14:paraId="2FDB6320" w14:textId="77777777" w:rsidR="005675D2" w:rsidRPr="005675D2" w:rsidRDefault="005675D2" w:rsidP="005675D2">
      <w:pPr>
        <w:spacing w:before="31"/>
      </w:pPr>
    </w:p>
    <w:p w14:paraId="7614D05C" w14:textId="6D70EA16" w:rsidR="005675D2" w:rsidRDefault="005675D2" w:rsidP="00647228">
      <w:pPr>
        <w:spacing w:line="240" w:lineRule="exact"/>
        <w:rPr>
          <w:sz w:val="22"/>
          <w:szCs w:val="22"/>
        </w:rPr>
      </w:pPr>
    </w:p>
    <w:p w14:paraId="2D6FD0FC" w14:textId="43542DC7" w:rsidR="005675D2" w:rsidRDefault="00D61FBB" w:rsidP="00647228">
      <w:pPr>
        <w:spacing w:line="240" w:lineRule="exact"/>
        <w:rPr>
          <w:sz w:val="22"/>
          <w:szCs w:val="22"/>
        </w:rPr>
      </w:pPr>
      <w:r>
        <w:rPr>
          <w:noProof/>
        </w:rPr>
        <w:lastRenderedPageBreak/>
        <w:drawing>
          <wp:anchor distT="0" distB="0" distL="114300" distR="114300" simplePos="0" relativeHeight="251659264" behindDoc="0" locked="0" layoutInCell="1" allowOverlap="1" wp14:anchorId="74A56812" wp14:editId="1F635FEC">
            <wp:simplePos x="0" y="0"/>
            <wp:positionH relativeFrom="column">
              <wp:posOffset>0</wp:posOffset>
            </wp:positionH>
            <wp:positionV relativeFrom="paragraph">
              <wp:posOffset>-367323</wp:posOffset>
            </wp:positionV>
            <wp:extent cx="6244492" cy="9042400"/>
            <wp:effectExtent l="0" t="0" r="4445" b="0"/>
            <wp:wrapNone/>
            <wp:docPr id="1401" name="Picture 10" descr="A screenshot of a cell ph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69299" cy="90783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27DA2F" w14:textId="51805546" w:rsidR="005675D2" w:rsidRDefault="005675D2" w:rsidP="00647228">
      <w:pPr>
        <w:spacing w:line="240" w:lineRule="exact"/>
        <w:rPr>
          <w:sz w:val="22"/>
          <w:szCs w:val="22"/>
        </w:rPr>
      </w:pPr>
    </w:p>
    <w:p w14:paraId="51F8A7B6" w14:textId="4B46DF43" w:rsidR="00647228" w:rsidRDefault="00647228" w:rsidP="00647228">
      <w:pPr>
        <w:spacing w:line="240" w:lineRule="exact"/>
        <w:rPr>
          <w:sz w:val="22"/>
          <w:szCs w:val="22"/>
        </w:rPr>
      </w:pPr>
    </w:p>
    <w:p w14:paraId="5ED68155" w14:textId="01C41301" w:rsidR="00647228" w:rsidRPr="00647228" w:rsidRDefault="00647228" w:rsidP="00647228">
      <w:pPr>
        <w:spacing w:line="240" w:lineRule="exact"/>
        <w:rPr>
          <w:sz w:val="22"/>
          <w:szCs w:val="22"/>
        </w:rPr>
      </w:pPr>
    </w:p>
    <w:p w14:paraId="1BD6F304" w14:textId="7EF48A98" w:rsidR="00647228" w:rsidRDefault="00647228" w:rsidP="00647228">
      <w:pPr>
        <w:spacing w:before="31"/>
      </w:pPr>
    </w:p>
    <w:p w14:paraId="0675EEE5" w14:textId="050E4618" w:rsidR="00791419" w:rsidRDefault="00791419" w:rsidP="00647228">
      <w:pPr>
        <w:spacing w:before="31"/>
      </w:pPr>
    </w:p>
    <w:p w14:paraId="0FA3BF38" w14:textId="17EB792D" w:rsidR="00791419" w:rsidRDefault="00791419" w:rsidP="00647228">
      <w:pPr>
        <w:spacing w:before="31"/>
      </w:pPr>
    </w:p>
    <w:p w14:paraId="3F945ECE" w14:textId="3A05EC2A" w:rsidR="00791419" w:rsidRDefault="00791419" w:rsidP="00647228">
      <w:pPr>
        <w:spacing w:before="31"/>
      </w:pPr>
    </w:p>
    <w:p w14:paraId="1041CD3E" w14:textId="476B9006" w:rsidR="00791419" w:rsidRDefault="00791419" w:rsidP="00647228">
      <w:pPr>
        <w:spacing w:before="31"/>
      </w:pPr>
    </w:p>
    <w:p w14:paraId="0481217B" w14:textId="68EE235A" w:rsidR="00791419" w:rsidRDefault="00791419" w:rsidP="00647228">
      <w:pPr>
        <w:spacing w:before="31"/>
      </w:pPr>
    </w:p>
    <w:p w14:paraId="12CF3254" w14:textId="31CA72F2" w:rsidR="00791419" w:rsidRDefault="00791419" w:rsidP="00647228">
      <w:pPr>
        <w:spacing w:before="31"/>
      </w:pPr>
    </w:p>
    <w:p w14:paraId="3EA86AC2" w14:textId="5E145AD5" w:rsidR="00791419" w:rsidRDefault="00791419" w:rsidP="00647228">
      <w:pPr>
        <w:spacing w:before="31"/>
      </w:pPr>
    </w:p>
    <w:p w14:paraId="4DED8CB9" w14:textId="2D3C6BE7" w:rsidR="00791419" w:rsidRDefault="00791419" w:rsidP="00647228">
      <w:pPr>
        <w:spacing w:before="31"/>
      </w:pPr>
    </w:p>
    <w:p w14:paraId="02043678" w14:textId="76AA39E3" w:rsidR="00791419" w:rsidRDefault="00791419" w:rsidP="00647228">
      <w:pPr>
        <w:spacing w:before="31"/>
      </w:pPr>
    </w:p>
    <w:p w14:paraId="7B7B9E51" w14:textId="50758D13" w:rsidR="00791419" w:rsidRDefault="00791419" w:rsidP="00647228">
      <w:pPr>
        <w:spacing w:before="31"/>
      </w:pPr>
    </w:p>
    <w:p w14:paraId="48B1F149" w14:textId="6D82601F" w:rsidR="00791419" w:rsidRDefault="00791419" w:rsidP="00647228">
      <w:pPr>
        <w:spacing w:before="31"/>
      </w:pPr>
    </w:p>
    <w:p w14:paraId="3DAE86F7" w14:textId="6B7C7563" w:rsidR="00791419" w:rsidRDefault="00791419" w:rsidP="00647228">
      <w:pPr>
        <w:spacing w:before="31"/>
      </w:pPr>
    </w:p>
    <w:p w14:paraId="20B057FE" w14:textId="282C7D06" w:rsidR="00791419" w:rsidRDefault="00791419" w:rsidP="00647228">
      <w:pPr>
        <w:spacing w:before="31"/>
      </w:pPr>
    </w:p>
    <w:p w14:paraId="4DC5092C" w14:textId="1AFDCD74" w:rsidR="00791419" w:rsidRDefault="00791419" w:rsidP="00647228">
      <w:pPr>
        <w:spacing w:before="31"/>
      </w:pPr>
    </w:p>
    <w:p w14:paraId="15BFA745" w14:textId="7480CA85" w:rsidR="00791419" w:rsidRDefault="00791419" w:rsidP="00647228">
      <w:pPr>
        <w:spacing w:before="31"/>
      </w:pPr>
    </w:p>
    <w:p w14:paraId="0BE642F6" w14:textId="1BA3878C" w:rsidR="00791419" w:rsidRDefault="00791419" w:rsidP="00647228">
      <w:pPr>
        <w:spacing w:before="31"/>
      </w:pPr>
    </w:p>
    <w:p w14:paraId="6B93D7D4" w14:textId="21CBD548" w:rsidR="00791419" w:rsidRDefault="00791419" w:rsidP="00647228">
      <w:pPr>
        <w:spacing w:before="31"/>
      </w:pPr>
    </w:p>
    <w:p w14:paraId="23C1E8F9" w14:textId="61136CAD" w:rsidR="00791419" w:rsidRDefault="00791419" w:rsidP="00647228">
      <w:pPr>
        <w:spacing w:before="31"/>
      </w:pPr>
    </w:p>
    <w:p w14:paraId="413D08FB" w14:textId="5D8E60BF" w:rsidR="00791419" w:rsidRDefault="00791419" w:rsidP="00647228">
      <w:pPr>
        <w:spacing w:before="31"/>
      </w:pPr>
    </w:p>
    <w:p w14:paraId="3A2257E1" w14:textId="52921A12" w:rsidR="00791419" w:rsidRDefault="00791419" w:rsidP="00647228">
      <w:pPr>
        <w:spacing w:before="31"/>
      </w:pPr>
    </w:p>
    <w:p w14:paraId="49FEFB61" w14:textId="55FEA615" w:rsidR="00791419" w:rsidRDefault="00791419" w:rsidP="00647228">
      <w:pPr>
        <w:spacing w:before="31"/>
      </w:pPr>
    </w:p>
    <w:p w14:paraId="25365869" w14:textId="30EA7363" w:rsidR="00791419" w:rsidRDefault="00791419" w:rsidP="00647228">
      <w:pPr>
        <w:spacing w:before="31"/>
      </w:pPr>
    </w:p>
    <w:p w14:paraId="2D595C22" w14:textId="58303C8C" w:rsidR="00791419" w:rsidRDefault="00791419" w:rsidP="00647228">
      <w:pPr>
        <w:spacing w:before="31"/>
      </w:pPr>
    </w:p>
    <w:p w14:paraId="4D8FA98A" w14:textId="1B67F571" w:rsidR="00791419" w:rsidRDefault="00791419" w:rsidP="00647228">
      <w:pPr>
        <w:spacing w:before="31"/>
      </w:pPr>
    </w:p>
    <w:p w14:paraId="7E3FAF83" w14:textId="6C3D2F05" w:rsidR="00791419" w:rsidRDefault="00791419" w:rsidP="00647228">
      <w:pPr>
        <w:spacing w:before="31"/>
      </w:pPr>
    </w:p>
    <w:p w14:paraId="0241CB88" w14:textId="3129C57F" w:rsidR="00791419" w:rsidRDefault="00791419" w:rsidP="00647228">
      <w:pPr>
        <w:spacing w:before="31"/>
      </w:pPr>
    </w:p>
    <w:p w14:paraId="2A8A6F9C" w14:textId="1BE86F51" w:rsidR="00791419" w:rsidRDefault="00791419" w:rsidP="00647228">
      <w:pPr>
        <w:spacing w:before="31"/>
      </w:pPr>
    </w:p>
    <w:p w14:paraId="3F034061" w14:textId="7AC9ADCA" w:rsidR="00791419" w:rsidRDefault="00791419" w:rsidP="00647228">
      <w:pPr>
        <w:spacing w:before="31"/>
      </w:pPr>
    </w:p>
    <w:p w14:paraId="261D1572" w14:textId="44CC8204" w:rsidR="00791419" w:rsidRDefault="00791419" w:rsidP="00647228">
      <w:pPr>
        <w:spacing w:before="31"/>
      </w:pPr>
    </w:p>
    <w:p w14:paraId="74A4B7DB" w14:textId="6E2E35AE" w:rsidR="00791419" w:rsidRDefault="00791419" w:rsidP="00647228">
      <w:pPr>
        <w:spacing w:before="31"/>
      </w:pPr>
    </w:p>
    <w:p w14:paraId="7DCE4E6A" w14:textId="6EA34299" w:rsidR="00791419" w:rsidRDefault="00791419" w:rsidP="00647228">
      <w:pPr>
        <w:spacing w:before="31"/>
      </w:pPr>
    </w:p>
    <w:p w14:paraId="083EDECC" w14:textId="6EF5EB48" w:rsidR="00791419" w:rsidRDefault="00791419" w:rsidP="00647228">
      <w:pPr>
        <w:spacing w:before="31"/>
      </w:pPr>
    </w:p>
    <w:p w14:paraId="6B502BAE" w14:textId="7DA89C3B" w:rsidR="00791419" w:rsidRDefault="00791419" w:rsidP="00647228">
      <w:pPr>
        <w:spacing w:before="31"/>
      </w:pPr>
    </w:p>
    <w:p w14:paraId="487E8489" w14:textId="38AF5469" w:rsidR="00791419" w:rsidRDefault="00791419" w:rsidP="00647228">
      <w:pPr>
        <w:spacing w:before="31"/>
      </w:pPr>
    </w:p>
    <w:p w14:paraId="3946156A" w14:textId="50B0521B" w:rsidR="00791419" w:rsidRDefault="00791419" w:rsidP="00647228">
      <w:pPr>
        <w:spacing w:before="31"/>
      </w:pPr>
    </w:p>
    <w:p w14:paraId="174AC468" w14:textId="2A5D8128" w:rsidR="00791419" w:rsidRDefault="00791419" w:rsidP="00647228">
      <w:pPr>
        <w:spacing w:before="31"/>
      </w:pPr>
    </w:p>
    <w:p w14:paraId="34C2886F" w14:textId="7095B667" w:rsidR="00791419" w:rsidRPr="00791419" w:rsidRDefault="00791419" w:rsidP="00647228">
      <w:pPr>
        <w:spacing w:before="31"/>
        <w:rPr>
          <w:u w:val="single"/>
        </w:rPr>
      </w:pPr>
      <w:r w:rsidRPr="00791419">
        <w:rPr>
          <w:u w:val="single"/>
        </w:rPr>
        <w:lastRenderedPageBreak/>
        <w:t>General Monitoring</w:t>
      </w:r>
    </w:p>
    <w:p w14:paraId="3A837C16" w14:textId="2D408CFD" w:rsidR="00791419" w:rsidRDefault="00791419" w:rsidP="00791419">
      <w:pPr>
        <w:pStyle w:val="ListParagraph"/>
        <w:numPr>
          <w:ilvl w:val="0"/>
          <w:numId w:val="11"/>
        </w:numPr>
        <w:spacing w:before="31"/>
      </w:pPr>
      <w:r>
        <w:t>A1c</w:t>
      </w:r>
    </w:p>
    <w:p w14:paraId="206D9FAD" w14:textId="6842B4D5" w:rsidR="00791419" w:rsidRDefault="00791419" w:rsidP="00791419">
      <w:pPr>
        <w:pStyle w:val="ListParagraph"/>
        <w:numPr>
          <w:ilvl w:val="1"/>
          <w:numId w:val="11"/>
        </w:numPr>
        <w:spacing w:before="31"/>
      </w:pPr>
      <w:r>
        <w:t>Every 6 months, if at goal</w:t>
      </w:r>
    </w:p>
    <w:p w14:paraId="62203D12" w14:textId="34E99931" w:rsidR="00791419" w:rsidRDefault="00791419" w:rsidP="00791419">
      <w:pPr>
        <w:pStyle w:val="ListParagraph"/>
        <w:numPr>
          <w:ilvl w:val="1"/>
          <w:numId w:val="11"/>
        </w:numPr>
        <w:spacing w:before="31"/>
      </w:pPr>
      <w:r>
        <w:t>Every 3 months, if not at goal</w:t>
      </w:r>
    </w:p>
    <w:p w14:paraId="00A6CAFD" w14:textId="35213A14" w:rsidR="00791419" w:rsidRDefault="00791419" w:rsidP="00791419">
      <w:pPr>
        <w:pStyle w:val="ListParagraph"/>
        <w:numPr>
          <w:ilvl w:val="1"/>
          <w:numId w:val="11"/>
        </w:numPr>
        <w:spacing w:before="31"/>
      </w:pPr>
      <w:r>
        <w:t>Additional testing PRN</w:t>
      </w:r>
    </w:p>
    <w:p w14:paraId="56BDD2FA" w14:textId="13A697F8" w:rsidR="00791419" w:rsidRDefault="00791419" w:rsidP="00791419">
      <w:pPr>
        <w:pStyle w:val="ListParagraph"/>
        <w:numPr>
          <w:ilvl w:val="0"/>
          <w:numId w:val="11"/>
        </w:numPr>
        <w:spacing w:before="31"/>
      </w:pPr>
      <w:r>
        <w:t>Microalbumin</w:t>
      </w:r>
    </w:p>
    <w:p w14:paraId="638EB98D" w14:textId="1BD23B9D" w:rsidR="00791419" w:rsidRDefault="00791419" w:rsidP="00791419">
      <w:pPr>
        <w:pStyle w:val="ListParagraph"/>
        <w:numPr>
          <w:ilvl w:val="1"/>
          <w:numId w:val="11"/>
        </w:numPr>
        <w:spacing w:before="31"/>
      </w:pPr>
      <w:r>
        <w:t>At diagnosis</w:t>
      </w:r>
    </w:p>
    <w:p w14:paraId="6B45BEB7" w14:textId="0D5B875D" w:rsidR="00791419" w:rsidRDefault="00791419" w:rsidP="00791419">
      <w:pPr>
        <w:pStyle w:val="ListParagraph"/>
        <w:numPr>
          <w:ilvl w:val="1"/>
          <w:numId w:val="11"/>
        </w:numPr>
        <w:spacing w:before="31"/>
      </w:pPr>
      <w:r w:rsidRPr="00791419">
        <w:t>Annually, if no evidence of proteinuria</w:t>
      </w:r>
    </w:p>
    <w:p w14:paraId="7D655B69" w14:textId="77777777" w:rsidR="00791419" w:rsidRDefault="00791419" w:rsidP="00791419">
      <w:pPr>
        <w:pStyle w:val="ListParagraph"/>
        <w:numPr>
          <w:ilvl w:val="1"/>
          <w:numId w:val="11"/>
        </w:numPr>
        <w:spacing w:before="31"/>
      </w:pPr>
      <w:r w:rsidRPr="00791419">
        <w:t>Guidelines are less clear once proteinuria is established and treated with ACE-I or ARB</w:t>
      </w:r>
    </w:p>
    <w:p w14:paraId="700660AF" w14:textId="11FCA876" w:rsidR="00791419" w:rsidRDefault="00791419" w:rsidP="00791419">
      <w:pPr>
        <w:pStyle w:val="ListParagraph"/>
        <w:numPr>
          <w:ilvl w:val="1"/>
          <w:numId w:val="11"/>
        </w:numPr>
        <w:spacing w:before="31"/>
      </w:pPr>
      <w:r w:rsidRPr="00791419">
        <w:t xml:space="preserve">Initiate ACE-I/ARB when urine </w:t>
      </w:r>
      <w:proofErr w:type="spellStart"/>
      <w:proofErr w:type="gramStart"/>
      <w:r w:rsidRPr="00791419">
        <w:t>albumin:creatinine</w:t>
      </w:r>
      <w:proofErr w:type="spellEnd"/>
      <w:proofErr w:type="gramEnd"/>
      <w:r w:rsidRPr="00791419">
        <w:t xml:space="preserve"> &gt; 30 on 2 of 3 tests in a 3-6 month period</w:t>
      </w:r>
    </w:p>
    <w:p w14:paraId="24D77057" w14:textId="6CB50E71" w:rsidR="00837E89" w:rsidRDefault="00837E89" w:rsidP="00837E89">
      <w:pPr>
        <w:pStyle w:val="ListParagraph"/>
        <w:numPr>
          <w:ilvl w:val="0"/>
          <w:numId w:val="11"/>
        </w:numPr>
        <w:spacing w:before="31"/>
      </w:pPr>
      <w:r>
        <w:t>Annual diabetic eye exam</w:t>
      </w:r>
    </w:p>
    <w:p w14:paraId="78F80147" w14:textId="3CA980BB" w:rsidR="00837E89" w:rsidRDefault="00837E89" w:rsidP="00837E89">
      <w:pPr>
        <w:pStyle w:val="ListParagraph"/>
        <w:numPr>
          <w:ilvl w:val="0"/>
          <w:numId w:val="11"/>
        </w:numPr>
        <w:spacing w:before="31"/>
      </w:pPr>
      <w:r>
        <w:t>Daily self-administered foot exam</w:t>
      </w:r>
    </w:p>
    <w:p w14:paraId="4DBC5FD9" w14:textId="41502B37" w:rsidR="00837E89" w:rsidRDefault="00837E89" w:rsidP="00837E89">
      <w:pPr>
        <w:pStyle w:val="ListParagraph"/>
        <w:numPr>
          <w:ilvl w:val="0"/>
          <w:numId w:val="11"/>
        </w:numPr>
        <w:spacing w:before="31"/>
      </w:pPr>
      <w:r>
        <w:t xml:space="preserve">Self-monitoring of blood glucose </w:t>
      </w:r>
    </w:p>
    <w:p w14:paraId="3B96B938" w14:textId="7941D86D" w:rsidR="00837E89" w:rsidRPr="00837E89" w:rsidRDefault="00837E89" w:rsidP="00837E89">
      <w:pPr>
        <w:spacing w:before="31"/>
        <w:rPr>
          <w:u w:val="single"/>
        </w:rPr>
      </w:pPr>
    </w:p>
    <w:p w14:paraId="6E18BD2A" w14:textId="3D61EDB7" w:rsidR="00837E89" w:rsidRDefault="00837E89" w:rsidP="00837E89">
      <w:pPr>
        <w:spacing w:before="31"/>
        <w:rPr>
          <w:u w:val="single"/>
        </w:rPr>
      </w:pPr>
      <w:r w:rsidRPr="00837E89">
        <w:rPr>
          <w:u w:val="single"/>
        </w:rPr>
        <w:t>Drug-Specific Monitoring</w:t>
      </w:r>
    </w:p>
    <w:p w14:paraId="70E957E6" w14:textId="77777777" w:rsidR="00837E89" w:rsidRPr="00837E89" w:rsidRDefault="00837E89" w:rsidP="00837E89">
      <w:pPr>
        <w:spacing w:before="31"/>
        <w:rPr>
          <w:u w:val="single"/>
        </w:rPr>
      </w:pPr>
    </w:p>
    <w:p w14:paraId="2D88F89F" w14:textId="29F47900" w:rsidR="00837E89" w:rsidRDefault="00837E89" w:rsidP="00837E89">
      <w:pPr>
        <w:spacing w:before="31"/>
      </w:pPr>
      <w:r w:rsidRPr="00837E89">
        <w:rPr>
          <w:noProof/>
        </w:rPr>
        <w:drawing>
          <wp:inline distT="0" distB="0" distL="0" distR="0" wp14:anchorId="224968E6" wp14:editId="4517CEB6">
            <wp:extent cx="5943600" cy="3101975"/>
            <wp:effectExtent l="0" t="0" r="0" b="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101975"/>
                    </a:xfrm>
                    <a:prstGeom prst="rect">
                      <a:avLst/>
                    </a:prstGeom>
                  </pic:spPr>
                </pic:pic>
              </a:graphicData>
            </a:graphic>
          </wp:inline>
        </w:drawing>
      </w:r>
    </w:p>
    <w:p w14:paraId="22D2ABA0" w14:textId="2C1222A6" w:rsidR="00837E89" w:rsidRDefault="00837E89" w:rsidP="00837E89">
      <w:pPr>
        <w:spacing w:before="31"/>
      </w:pPr>
    </w:p>
    <w:p w14:paraId="7DB6D2A8" w14:textId="77777777" w:rsidR="00031468" w:rsidRDefault="00031468" w:rsidP="00837E89">
      <w:pPr>
        <w:spacing w:before="31"/>
      </w:pPr>
    </w:p>
    <w:p w14:paraId="7BC746AE" w14:textId="77777777" w:rsidR="00031468" w:rsidRDefault="00031468" w:rsidP="00837E89">
      <w:pPr>
        <w:spacing w:before="31"/>
      </w:pPr>
    </w:p>
    <w:p w14:paraId="4B5347B4" w14:textId="77777777" w:rsidR="00031468" w:rsidRDefault="00031468" w:rsidP="00837E89">
      <w:pPr>
        <w:spacing w:before="31"/>
      </w:pPr>
    </w:p>
    <w:p w14:paraId="7A4E335F" w14:textId="77777777" w:rsidR="00031468" w:rsidRDefault="00031468" w:rsidP="00837E89">
      <w:pPr>
        <w:spacing w:before="31"/>
      </w:pPr>
    </w:p>
    <w:p w14:paraId="4C531410" w14:textId="77777777" w:rsidR="00031468" w:rsidRDefault="00031468" w:rsidP="00837E89">
      <w:pPr>
        <w:spacing w:before="31"/>
      </w:pPr>
    </w:p>
    <w:p w14:paraId="32FF23AB" w14:textId="77777777" w:rsidR="00031468" w:rsidRDefault="00031468" w:rsidP="00837E89">
      <w:pPr>
        <w:spacing w:before="31"/>
      </w:pPr>
    </w:p>
    <w:p w14:paraId="4EC8042F" w14:textId="2A850FA2" w:rsidR="00837E89" w:rsidRDefault="00031468" w:rsidP="00837E89">
      <w:pPr>
        <w:spacing w:before="31"/>
      </w:pPr>
      <w:r w:rsidRPr="00031468">
        <w:lastRenderedPageBreak/>
        <w:t xml:space="preserve">Disclaimer: This Collaborative Practice Agreement (CPA) </w:t>
      </w:r>
      <w:r>
        <w:t>Diabetes Management</w:t>
      </w:r>
      <w:r w:rsidRPr="00031468">
        <w:t xml:space="preserve"> example template</w:t>
      </w:r>
      <w:r w:rsidR="002F036E">
        <w:t xml:space="preserve"> is</w:t>
      </w:r>
      <w:r w:rsidRPr="00031468">
        <w:t xml:space="preserve"> intended to assist pharmacists in </w:t>
      </w:r>
      <w:r w:rsidR="002F036E">
        <w:t xml:space="preserve">the </w:t>
      </w:r>
      <w:r w:rsidRPr="00031468">
        <w:t xml:space="preserve">development of a CPA for </w:t>
      </w:r>
      <w:r w:rsidR="0017541F">
        <w:t xml:space="preserve">management of diabetes </w:t>
      </w:r>
      <w:r w:rsidRPr="00031468">
        <w:t>with a corresponding physician(s). This information is not intended to be a substitute for professional training and judgment. It is always best to consult additional references to confirm doses. Use of this information indicates acknowledgement that neither PSW nor its contributing authors will be responsible for any loss or injury, including death, sustained in connection with or as a result of using this information. PSW is under no obligation to update the information contained herein.</w:t>
      </w:r>
    </w:p>
    <w:p w14:paraId="67D09436" w14:textId="47D2CD22" w:rsidR="00837E89" w:rsidRDefault="00837E89" w:rsidP="00837E89">
      <w:pPr>
        <w:spacing w:before="31"/>
      </w:pPr>
    </w:p>
    <w:p w14:paraId="7D14724E" w14:textId="14721C31" w:rsidR="00837E89" w:rsidRDefault="00837E89" w:rsidP="00837E89">
      <w:pPr>
        <w:spacing w:before="31"/>
      </w:pPr>
    </w:p>
    <w:p w14:paraId="78B02F08" w14:textId="1A093EB1" w:rsidR="00837E89" w:rsidRDefault="00837E89" w:rsidP="00837E89">
      <w:pPr>
        <w:spacing w:before="31"/>
      </w:pPr>
    </w:p>
    <w:p w14:paraId="6FB6DEA5" w14:textId="558851AE" w:rsidR="00837E89" w:rsidRDefault="00837E89" w:rsidP="00837E89">
      <w:pPr>
        <w:spacing w:before="31"/>
      </w:pPr>
    </w:p>
    <w:p w14:paraId="69B27639" w14:textId="7E6E45C4" w:rsidR="00837E89" w:rsidRDefault="00837E89" w:rsidP="00837E89">
      <w:pPr>
        <w:spacing w:before="31"/>
      </w:pPr>
    </w:p>
    <w:p w14:paraId="677760F8" w14:textId="77777777" w:rsidR="00837E89" w:rsidRPr="00647228" w:rsidRDefault="00837E89" w:rsidP="00837E89">
      <w:pPr>
        <w:spacing w:before="31"/>
      </w:pPr>
    </w:p>
    <w:sectPr w:rsidR="00837E89" w:rsidRPr="00647228" w:rsidSect="009D72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FB6DC" w14:textId="77777777" w:rsidR="00815592" w:rsidRDefault="00815592" w:rsidP="00791419">
      <w:r>
        <w:separator/>
      </w:r>
    </w:p>
  </w:endnote>
  <w:endnote w:type="continuationSeparator" w:id="0">
    <w:p w14:paraId="43B4A376" w14:textId="77777777" w:rsidR="00815592" w:rsidRDefault="00815592" w:rsidP="00791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0EBDC" w14:textId="77777777" w:rsidR="00815592" w:rsidRDefault="00815592" w:rsidP="00791419">
      <w:r>
        <w:separator/>
      </w:r>
    </w:p>
  </w:footnote>
  <w:footnote w:type="continuationSeparator" w:id="0">
    <w:p w14:paraId="0FF2D5FE" w14:textId="77777777" w:rsidR="00815592" w:rsidRDefault="00815592" w:rsidP="00791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7786"/>
    <w:multiLevelType w:val="hybridMultilevel"/>
    <w:tmpl w:val="66BA767A"/>
    <w:lvl w:ilvl="0" w:tplc="04090001">
      <w:start w:val="1"/>
      <w:numFmt w:val="bullet"/>
      <w:lvlText w:val=""/>
      <w:lvlJc w:val="left"/>
      <w:pPr>
        <w:ind w:left="720" w:hanging="360"/>
      </w:pPr>
      <w:rPr>
        <w:rFonts w:ascii="Symbol" w:hAnsi="Symbol" w:hint="default"/>
        <w:w w:val="100"/>
        <w:sz w:val="24"/>
        <w:szCs w:val="24"/>
        <w:lang w:val="en-US" w:eastAsia="en-US" w:bidi="en-US"/>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C17C3"/>
    <w:multiLevelType w:val="hybridMultilevel"/>
    <w:tmpl w:val="31E2FBCC"/>
    <w:lvl w:ilvl="0" w:tplc="9786709A">
      <w:numFmt w:val="bullet"/>
      <w:lvlText w:val=""/>
      <w:lvlJc w:val="left"/>
      <w:pPr>
        <w:ind w:left="1080" w:hanging="360"/>
      </w:pPr>
      <w:rPr>
        <w:rFonts w:ascii="Wingdings" w:eastAsia="Wingdings" w:hAnsi="Wingdings" w:cs="Wingdings" w:hint="default"/>
        <w:w w:val="100"/>
        <w:sz w:val="24"/>
        <w:szCs w:val="24"/>
        <w:lang w:val="en-US" w:eastAsia="en-US" w:bidi="en-US"/>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FA200A"/>
    <w:multiLevelType w:val="hybridMultilevel"/>
    <w:tmpl w:val="ACAE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271B4"/>
    <w:multiLevelType w:val="multilevel"/>
    <w:tmpl w:val="CECCF18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3CE428CD"/>
    <w:multiLevelType w:val="hybridMultilevel"/>
    <w:tmpl w:val="DEF61F12"/>
    <w:lvl w:ilvl="0" w:tplc="591265B0">
      <w:numFmt w:val="bullet"/>
      <w:lvlText w:val=""/>
      <w:lvlJc w:val="left"/>
      <w:pPr>
        <w:ind w:left="940" w:hanging="361"/>
      </w:pPr>
      <w:rPr>
        <w:rFonts w:ascii="Wingdings" w:eastAsia="Wingdings" w:hAnsi="Wingdings" w:cs="Wingdings" w:hint="default"/>
        <w:w w:val="100"/>
        <w:sz w:val="16"/>
        <w:szCs w:val="16"/>
        <w:lang w:val="en-US" w:eastAsia="en-US" w:bidi="en-US"/>
      </w:rPr>
    </w:lvl>
    <w:lvl w:ilvl="1" w:tplc="9786709A">
      <w:numFmt w:val="bullet"/>
      <w:lvlText w:val=""/>
      <w:lvlJc w:val="left"/>
      <w:pPr>
        <w:ind w:left="1300" w:hanging="360"/>
      </w:pPr>
      <w:rPr>
        <w:rFonts w:ascii="Wingdings" w:eastAsia="Wingdings" w:hAnsi="Wingdings" w:cs="Wingdings" w:hint="default"/>
        <w:w w:val="100"/>
        <w:sz w:val="24"/>
        <w:szCs w:val="24"/>
        <w:lang w:val="en-US" w:eastAsia="en-US" w:bidi="en-US"/>
      </w:rPr>
    </w:lvl>
    <w:lvl w:ilvl="2" w:tplc="1E90C822">
      <w:numFmt w:val="bullet"/>
      <w:lvlText w:val="•"/>
      <w:lvlJc w:val="left"/>
      <w:pPr>
        <w:ind w:left="2404" w:hanging="360"/>
      </w:pPr>
      <w:rPr>
        <w:rFonts w:hint="default"/>
        <w:lang w:val="en-US" w:eastAsia="en-US" w:bidi="en-US"/>
      </w:rPr>
    </w:lvl>
    <w:lvl w:ilvl="3" w:tplc="586EC9AA">
      <w:numFmt w:val="bullet"/>
      <w:lvlText w:val="•"/>
      <w:lvlJc w:val="left"/>
      <w:pPr>
        <w:ind w:left="3508" w:hanging="360"/>
      </w:pPr>
      <w:rPr>
        <w:rFonts w:hint="default"/>
        <w:lang w:val="en-US" w:eastAsia="en-US" w:bidi="en-US"/>
      </w:rPr>
    </w:lvl>
    <w:lvl w:ilvl="4" w:tplc="23B06766">
      <w:numFmt w:val="bullet"/>
      <w:lvlText w:val="•"/>
      <w:lvlJc w:val="left"/>
      <w:pPr>
        <w:ind w:left="4613" w:hanging="360"/>
      </w:pPr>
      <w:rPr>
        <w:rFonts w:hint="default"/>
        <w:lang w:val="en-US" w:eastAsia="en-US" w:bidi="en-US"/>
      </w:rPr>
    </w:lvl>
    <w:lvl w:ilvl="5" w:tplc="3ABA6E08">
      <w:numFmt w:val="bullet"/>
      <w:lvlText w:val="•"/>
      <w:lvlJc w:val="left"/>
      <w:pPr>
        <w:ind w:left="5717" w:hanging="360"/>
      </w:pPr>
      <w:rPr>
        <w:rFonts w:hint="default"/>
        <w:lang w:val="en-US" w:eastAsia="en-US" w:bidi="en-US"/>
      </w:rPr>
    </w:lvl>
    <w:lvl w:ilvl="6" w:tplc="8C4CA7F8">
      <w:numFmt w:val="bullet"/>
      <w:lvlText w:val="•"/>
      <w:lvlJc w:val="left"/>
      <w:pPr>
        <w:ind w:left="6822" w:hanging="360"/>
      </w:pPr>
      <w:rPr>
        <w:rFonts w:hint="default"/>
        <w:lang w:val="en-US" w:eastAsia="en-US" w:bidi="en-US"/>
      </w:rPr>
    </w:lvl>
    <w:lvl w:ilvl="7" w:tplc="75A0FF24">
      <w:numFmt w:val="bullet"/>
      <w:lvlText w:val="•"/>
      <w:lvlJc w:val="left"/>
      <w:pPr>
        <w:ind w:left="7926" w:hanging="360"/>
      </w:pPr>
      <w:rPr>
        <w:rFonts w:hint="default"/>
        <w:lang w:val="en-US" w:eastAsia="en-US" w:bidi="en-US"/>
      </w:rPr>
    </w:lvl>
    <w:lvl w:ilvl="8" w:tplc="CE169D14">
      <w:numFmt w:val="bullet"/>
      <w:lvlText w:val="•"/>
      <w:lvlJc w:val="left"/>
      <w:pPr>
        <w:ind w:left="9031" w:hanging="360"/>
      </w:pPr>
      <w:rPr>
        <w:rFonts w:hint="default"/>
        <w:lang w:val="en-US" w:eastAsia="en-US" w:bidi="en-US"/>
      </w:rPr>
    </w:lvl>
  </w:abstractNum>
  <w:abstractNum w:abstractNumId="5" w15:restartNumberingAfterBreak="0">
    <w:nsid w:val="49126959"/>
    <w:multiLevelType w:val="hybridMultilevel"/>
    <w:tmpl w:val="994A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2370E1"/>
    <w:multiLevelType w:val="hybridMultilevel"/>
    <w:tmpl w:val="51E8CC48"/>
    <w:lvl w:ilvl="0" w:tplc="04090001">
      <w:start w:val="1"/>
      <w:numFmt w:val="bullet"/>
      <w:lvlText w:val=""/>
      <w:lvlJc w:val="left"/>
      <w:pPr>
        <w:ind w:left="940" w:hanging="360"/>
      </w:pPr>
      <w:rPr>
        <w:rFonts w:ascii="Symbol" w:hAnsi="Symbol" w:hint="default"/>
      </w:rPr>
    </w:lvl>
    <w:lvl w:ilvl="1" w:tplc="04090003">
      <w:start w:val="1"/>
      <w:numFmt w:val="bullet"/>
      <w:lvlText w:val="o"/>
      <w:lvlJc w:val="left"/>
      <w:pPr>
        <w:ind w:left="1660" w:hanging="360"/>
      </w:pPr>
      <w:rPr>
        <w:rFonts w:ascii="Courier New" w:hAnsi="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7" w15:restartNumberingAfterBreak="0">
    <w:nsid w:val="53C153AC"/>
    <w:multiLevelType w:val="hybridMultilevel"/>
    <w:tmpl w:val="4468A2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13B5EF3"/>
    <w:multiLevelType w:val="hybridMultilevel"/>
    <w:tmpl w:val="B3E86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DD329B"/>
    <w:multiLevelType w:val="hybridMultilevel"/>
    <w:tmpl w:val="2D4C0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557B15"/>
    <w:multiLevelType w:val="hybridMultilevel"/>
    <w:tmpl w:val="34A654B2"/>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hint="default"/>
      </w:rPr>
    </w:lvl>
    <w:lvl w:ilvl="8" w:tplc="04090005" w:tentative="1">
      <w:start w:val="1"/>
      <w:numFmt w:val="bullet"/>
      <w:lvlText w:val=""/>
      <w:lvlJc w:val="left"/>
      <w:pPr>
        <w:ind w:left="6700" w:hanging="360"/>
      </w:pPr>
      <w:rPr>
        <w:rFonts w:ascii="Wingdings" w:hAnsi="Wingdings" w:hint="default"/>
      </w:rPr>
    </w:lvl>
  </w:abstractNum>
  <w:num w:numId="1" w16cid:durableId="1439136242">
    <w:abstractNumId w:val="9"/>
  </w:num>
  <w:num w:numId="2" w16cid:durableId="412514645">
    <w:abstractNumId w:val="4"/>
  </w:num>
  <w:num w:numId="3" w16cid:durableId="490291926">
    <w:abstractNumId w:val="10"/>
  </w:num>
  <w:num w:numId="4" w16cid:durableId="900169573">
    <w:abstractNumId w:val="6"/>
  </w:num>
  <w:num w:numId="5" w16cid:durableId="748577651">
    <w:abstractNumId w:val="2"/>
  </w:num>
  <w:num w:numId="6" w16cid:durableId="780537763">
    <w:abstractNumId w:val="5"/>
  </w:num>
  <w:num w:numId="7" w16cid:durableId="1989362258">
    <w:abstractNumId w:val="7"/>
  </w:num>
  <w:num w:numId="8" w16cid:durableId="129176513">
    <w:abstractNumId w:val="1"/>
  </w:num>
  <w:num w:numId="9" w16cid:durableId="765460946">
    <w:abstractNumId w:val="0"/>
  </w:num>
  <w:num w:numId="10" w16cid:durableId="2117208297">
    <w:abstractNumId w:val="3"/>
  </w:num>
  <w:num w:numId="11" w16cid:durableId="6319100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CCF"/>
    <w:rsid w:val="00031468"/>
    <w:rsid w:val="00143241"/>
    <w:rsid w:val="0017541F"/>
    <w:rsid w:val="00226E3A"/>
    <w:rsid w:val="00235334"/>
    <w:rsid w:val="002D4636"/>
    <w:rsid w:val="002F036E"/>
    <w:rsid w:val="00317D03"/>
    <w:rsid w:val="00364AE0"/>
    <w:rsid w:val="00385E74"/>
    <w:rsid w:val="00432EFE"/>
    <w:rsid w:val="004855EB"/>
    <w:rsid w:val="00505FF0"/>
    <w:rsid w:val="005675D2"/>
    <w:rsid w:val="00641EC4"/>
    <w:rsid w:val="00647228"/>
    <w:rsid w:val="006541C2"/>
    <w:rsid w:val="007355C0"/>
    <w:rsid w:val="00774C4D"/>
    <w:rsid w:val="00791419"/>
    <w:rsid w:val="00815592"/>
    <w:rsid w:val="00837E89"/>
    <w:rsid w:val="008C374C"/>
    <w:rsid w:val="00952A16"/>
    <w:rsid w:val="009D7216"/>
    <w:rsid w:val="00AF1012"/>
    <w:rsid w:val="00B501C7"/>
    <w:rsid w:val="00CC4CCF"/>
    <w:rsid w:val="00CE6DD1"/>
    <w:rsid w:val="00D61FBB"/>
    <w:rsid w:val="00FD7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D7615"/>
  <w15:chartTrackingRefBased/>
  <w15:docId w15:val="{9E8E63F2-1DAB-5B4C-9729-6A8DFEF3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7228"/>
    <w:pPr>
      <w:keepNext/>
      <w:numPr>
        <w:numId w:val="10"/>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647228"/>
    <w:pPr>
      <w:keepNext/>
      <w:numPr>
        <w:ilvl w:val="1"/>
        <w:numId w:val="10"/>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647228"/>
    <w:pPr>
      <w:keepNext/>
      <w:numPr>
        <w:ilvl w:val="2"/>
        <w:numId w:val="10"/>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47228"/>
    <w:pPr>
      <w:keepNext/>
      <w:numPr>
        <w:ilvl w:val="3"/>
        <w:numId w:val="10"/>
      </w:numPr>
      <w:spacing w:before="240" w:after="6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647228"/>
    <w:pPr>
      <w:numPr>
        <w:ilvl w:val="4"/>
        <w:numId w:val="10"/>
      </w:numPr>
      <w:spacing w:before="240" w:after="60"/>
      <w:outlineLvl w:val="4"/>
    </w:pPr>
    <w:rPr>
      <w:rFonts w:eastAsiaTheme="minorEastAsia"/>
      <w:b/>
      <w:bCs/>
      <w:i/>
      <w:iCs/>
      <w:sz w:val="26"/>
      <w:szCs w:val="26"/>
    </w:rPr>
  </w:style>
  <w:style w:type="paragraph" w:styleId="Heading6">
    <w:name w:val="heading 6"/>
    <w:basedOn w:val="Normal"/>
    <w:next w:val="Normal"/>
    <w:link w:val="Heading6Char"/>
    <w:qFormat/>
    <w:rsid w:val="00647228"/>
    <w:pPr>
      <w:numPr>
        <w:ilvl w:val="5"/>
        <w:numId w:val="10"/>
      </w:numPr>
      <w:spacing w:before="240" w:after="60"/>
      <w:outlineLvl w:val="5"/>
    </w:pPr>
    <w:rPr>
      <w:rFonts w:ascii="Times New Roman" w:eastAsia="Times New Roman" w:hAnsi="Times New Roman" w:cs="Times New Roman"/>
      <w:b/>
      <w:bCs/>
      <w:sz w:val="22"/>
      <w:szCs w:val="22"/>
    </w:rPr>
  </w:style>
  <w:style w:type="paragraph" w:styleId="Heading7">
    <w:name w:val="heading 7"/>
    <w:basedOn w:val="Normal"/>
    <w:next w:val="Normal"/>
    <w:link w:val="Heading7Char"/>
    <w:uiPriority w:val="9"/>
    <w:semiHidden/>
    <w:unhideWhenUsed/>
    <w:qFormat/>
    <w:rsid w:val="00647228"/>
    <w:pPr>
      <w:numPr>
        <w:ilvl w:val="6"/>
        <w:numId w:val="10"/>
      </w:numPr>
      <w:spacing w:before="240" w:after="60"/>
      <w:outlineLvl w:val="6"/>
    </w:pPr>
    <w:rPr>
      <w:rFonts w:eastAsiaTheme="minorEastAsia"/>
    </w:rPr>
  </w:style>
  <w:style w:type="paragraph" w:styleId="Heading8">
    <w:name w:val="heading 8"/>
    <w:basedOn w:val="Normal"/>
    <w:next w:val="Normal"/>
    <w:link w:val="Heading8Char"/>
    <w:uiPriority w:val="9"/>
    <w:semiHidden/>
    <w:unhideWhenUsed/>
    <w:qFormat/>
    <w:rsid w:val="00647228"/>
    <w:pPr>
      <w:numPr>
        <w:ilvl w:val="7"/>
        <w:numId w:val="10"/>
      </w:numPr>
      <w:spacing w:before="240" w:after="60"/>
      <w:outlineLvl w:val="7"/>
    </w:pPr>
    <w:rPr>
      <w:rFonts w:eastAsiaTheme="minorEastAsia"/>
      <w:i/>
      <w:iCs/>
    </w:rPr>
  </w:style>
  <w:style w:type="paragraph" w:styleId="Heading9">
    <w:name w:val="heading 9"/>
    <w:basedOn w:val="Normal"/>
    <w:next w:val="Normal"/>
    <w:link w:val="Heading9Char"/>
    <w:uiPriority w:val="9"/>
    <w:semiHidden/>
    <w:unhideWhenUsed/>
    <w:qFormat/>
    <w:rsid w:val="00647228"/>
    <w:pPr>
      <w:numPr>
        <w:ilvl w:val="8"/>
        <w:numId w:val="10"/>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C4CCF"/>
    <w:pPr>
      <w:widowControl w:val="0"/>
      <w:autoSpaceDE w:val="0"/>
      <w:autoSpaceDN w:val="0"/>
    </w:pPr>
    <w:rPr>
      <w:rFonts w:ascii="Times New Roman" w:eastAsia="Times New Roman" w:hAnsi="Times New Roman" w:cs="Times New Roman"/>
      <w:sz w:val="22"/>
      <w:szCs w:val="22"/>
      <w:lang w:bidi="en-US"/>
    </w:rPr>
  </w:style>
  <w:style w:type="paragraph" w:styleId="ListParagraph">
    <w:name w:val="List Paragraph"/>
    <w:basedOn w:val="Normal"/>
    <w:uiPriority w:val="34"/>
    <w:qFormat/>
    <w:rsid w:val="00CC4CCF"/>
    <w:pPr>
      <w:ind w:left="720"/>
      <w:contextualSpacing/>
    </w:pPr>
  </w:style>
  <w:style w:type="character" w:customStyle="1" w:styleId="Heading1Char">
    <w:name w:val="Heading 1 Char"/>
    <w:basedOn w:val="DefaultParagraphFont"/>
    <w:link w:val="Heading1"/>
    <w:uiPriority w:val="9"/>
    <w:rsid w:val="0064722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4722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4722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47228"/>
    <w:rPr>
      <w:rFonts w:eastAsiaTheme="minorEastAsia"/>
      <w:b/>
      <w:bCs/>
      <w:sz w:val="28"/>
      <w:szCs w:val="28"/>
    </w:rPr>
  </w:style>
  <w:style w:type="character" w:customStyle="1" w:styleId="Heading5Char">
    <w:name w:val="Heading 5 Char"/>
    <w:basedOn w:val="DefaultParagraphFont"/>
    <w:link w:val="Heading5"/>
    <w:uiPriority w:val="9"/>
    <w:semiHidden/>
    <w:rsid w:val="00647228"/>
    <w:rPr>
      <w:rFonts w:eastAsiaTheme="minorEastAsia"/>
      <w:b/>
      <w:bCs/>
      <w:i/>
      <w:iCs/>
      <w:sz w:val="26"/>
      <w:szCs w:val="26"/>
    </w:rPr>
  </w:style>
  <w:style w:type="character" w:customStyle="1" w:styleId="Heading6Char">
    <w:name w:val="Heading 6 Char"/>
    <w:basedOn w:val="DefaultParagraphFont"/>
    <w:link w:val="Heading6"/>
    <w:rsid w:val="00647228"/>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
    <w:semiHidden/>
    <w:rsid w:val="00647228"/>
    <w:rPr>
      <w:rFonts w:eastAsiaTheme="minorEastAsia"/>
    </w:rPr>
  </w:style>
  <w:style w:type="character" w:customStyle="1" w:styleId="Heading8Char">
    <w:name w:val="Heading 8 Char"/>
    <w:basedOn w:val="DefaultParagraphFont"/>
    <w:link w:val="Heading8"/>
    <w:uiPriority w:val="9"/>
    <w:semiHidden/>
    <w:rsid w:val="00647228"/>
    <w:rPr>
      <w:rFonts w:eastAsiaTheme="minorEastAsia"/>
      <w:i/>
      <w:iCs/>
    </w:rPr>
  </w:style>
  <w:style w:type="character" w:customStyle="1" w:styleId="Heading9Char">
    <w:name w:val="Heading 9 Char"/>
    <w:basedOn w:val="DefaultParagraphFont"/>
    <w:link w:val="Heading9"/>
    <w:uiPriority w:val="9"/>
    <w:semiHidden/>
    <w:rsid w:val="00647228"/>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791419"/>
    <w:pPr>
      <w:tabs>
        <w:tab w:val="center" w:pos="4680"/>
        <w:tab w:val="right" w:pos="9360"/>
      </w:tabs>
    </w:pPr>
  </w:style>
  <w:style w:type="character" w:customStyle="1" w:styleId="HeaderChar">
    <w:name w:val="Header Char"/>
    <w:basedOn w:val="DefaultParagraphFont"/>
    <w:link w:val="Header"/>
    <w:uiPriority w:val="99"/>
    <w:rsid w:val="00791419"/>
  </w:style>
  <w:style w:type="paragraph" w:styleId="Footer">
    <w:name w:val="footer"/>
    <w:basedOn w:val="Normal"/>
    <w:link w:val="FooterChar"/>
    <w:uiPriority w:val="99"/>
    <w:unhideWhenUsed/>
    <w:rsid w:val="00791419"/>
    <w:pPr>
      <w:tabs>
        <w:tab w:val="center" w:pos="4680"/>
        <w:tab w:val="right" w:pos="9360"/>
      </w:tabs>
    </w:pPr>
  </w:style>
  <w:style w:type="character" w:customStyle="1" w:styleId="FooterChar">
    <w:name w:val="Footer Char"/>
    <w:basedOn w:val="DefaultParagraphFont"/>
    <w:link w:val="Footer"/>
    <w:uiPriority w:val="99"/>
    <w:rsid w:val="00791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B16DDED116314C8341F0480CB8F339" ma:contentTypeVersion="14" ma:contentTypeDescription="Create a new document." ma:contentTypeScope="" ma:versionID="14cdb9cea77f3d19c69e57fd7545bf53">
  <xsd:schema xmlns:xsd="http://www.w3.org/2001/XMLSchema" xmlns:xs="http://www.w3.org/2001/XMLSchema" xmlns:p="http://schemas.microsoft.com/office/2006/metadata/properties" xmlns:ns2="236b2a09-ca79-4b01-9e73-cf6284c6edfc" xmlns:ns3="7a247543-ca39-422e-9a01-1c0e709fc482" targetNamespace="http://schemas.microsoft.com/office/2006/metadata/properties" ma:root="true" ma:fieldsID="4957ec8319beca5bd32fe14e7afe4ac7" ns2:_="" ns3:_="">
    <xsd:import namespace="236b2a09-ca79-4b01-9e73-cf6284c6edfc"/>
    <xsd:import namespace="7a247543-ca39-422e-9a01-1c0e709fc4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b2a09-ca79-4b01-9e73-cf6284c6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4eda444-3720-48b9-8b16-cb49c2934a7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247543-ca39-422e-9a01-1c0e709fc4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0753d0-0d0a-4d03-be06-155d2cd6b6f1}" ma:internalName="TaxCatchAll" ma:showField="CatchAllData" ma:web="7a247543-ca39-422e-9a01-1c0e709fc4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a247543-ca39-422e-9a01-1c0e709fc482" xsi:nil="true"/>
    <lcf76f155ced4ddcb4097134ff3c332f xmlns="236b2a09-ca79-4b01-9e73-cf6284c6edf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EFB67B-FA1F-436F-8D01-DE1AF965F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b2a09-ca79-4b01-9e73-cf6284c6edfc"/>
    <ds:schemaRef ds:uri="7a247543-ca39-422e-9a01-1c0e709fc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FA2B17-32B8-4DB1-A76F-2481D98DB923}">
  <ds:schemaRefs>
    <ds:schemaRef ds:uri="http://schemas.microsoft.com/office/2006/metadata/properties"/>
    <ds:schemaRef ds:uri="http://schemas.microsoft.com/office/infopath/2007/PartnerControls"/>
    <ds:schemaRef ds:uri="7a247543-ca39-422e-9a01-1c0e709fc482"/>
    <ds:schemaRef ds:uri="236b2a09-ca79-4b01-9e73-cf6284c6edfc"/>
  </ds:schemaRefs>
</ds:datastoreItem>
</file>

<file path=customXml/itemProps3.xml><?xml version="1.0" encoding="utf-8"?>
<ds:datastoreItem xmlns:ds="http://schemas.openxmlformats.org/officeDocument/2006/customXml" ds:itemID="{10A58DAB-79B3-4E8F-A89E-2A9B74F629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Jaeger</dc:creator>
  <cp:keywords/>
  <dc:description/>
  <cp:lastModifiedBy>Kari Trapskin</cp:lastModifiedBy>
  <cp:revision>2</cp:revision>
  <dcterms:created xsi:type="dcterms:W3CDTF">2023-12-20T22:33:00Z</dcterms:created>
  <dcterms:modified xsi:type="dcterms:W3CDTF">2023-12-20T22:33:00Z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0x01010088B16DDED116314C8341F0480CB8F339</vt:lpwstr>
  </property>
  <property fmtid="{D5CDD505-2E9C-101B-9397-08002B2CF9AE}" pid="3" name="Order">
    <vt:r8>5575300</vt:r8>
  </property>
  <property fmtid="{D5CDD505-2E9C-101B-9397-08002B2CF9AE}" pid="4" name="MediaServiceImageTags">
    <vt:lpwstr/>
  </property>
</Properties>
</file>